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footer2.xml" ContentType="application/vnd.openxmlformats-officedocument.wordprocessingml.footer+xml"/>
  <Override PartName="/customXml/itemProps3.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endnotes.xml" ContentType="application/vnd.openxmlformats-officedocument.wordprocessingml.endnotes+xml"/>
  <Override PartName="/word/footer1.xml" ContentType="application/vnd.openxmlformats-officedocument.wordprocessingml.footer+xml"/>
  <Override PartName="/customXml/itemProps2.xml" ContentType="application/vnd.openxmlformats-officedocument.customXmlProperties+xml"/>
  <Override PartName="/word/header2.xml" ContentType="application/vnd.openxmlformats-officedocument.wordprocessingml.header+xml"/>
  <Override PartName="/word/footer3.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customXml/itemProps5.xml" ContentType="application/vnd.openxmlformats-officedocument.customXmlProperties+xml"/>
  <Override PartName="/word/header1.xml" ContentType="application/vnd.openxmlformats-officedocument.wordprocessingml.header+xml"/>
  <Override PartName="/word/webSettings.xml" ContentType="application/vnd.openxmlformats-officedocument.wordprocessingml.webSettings+xml"/>
  <Override PartName="/word/header3.xml" ContentType="application/vnd.openxmlformats-officedocument.wordprocessingml.header+xml"/>
  <Override PartName="/customXml/itemProps4.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docProps/custom.xml" ContentType="application/vnd.openxmlformats-officedocument.custom-properties+xml"/>
  <Default Extension="png" ContentType="image/png"/>
  <Default Extension="jpeg" ContentType="image/jpe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91"/>
        <w:gridCol w:w="7224"/>
      </w:tblGrid>
      <w:tr w:rsidR="00D0470F">
        <w:trPr>
          <w:trHeight w:hRule="exact" w:val="2325"/>
        </w:trPr>
        <w:tc>
          <w:tcPr>
            <w:tcW w:w="2291" w:type="dxa"/>
            <w:tcMar>
              <w:left w:w="0" w:type="dxa"/>
            </w:tcMar>
          </w:tcPr>
          <w:p w:rsidR="00D0470F" w:rsidRDefault="004D6C3E">
            <w:pPr>
              <w:pStyle w:val="ProfilePosition"/>
            </w:pPr>
            <w:bookmarkStart w:id="0" w:name="_GoBack"/>
            <w:bookmarkEnd w:id="0"/>
            <w:r>
              <w:rPr>
                <w:noProof/>
                <w:lang w:val="en-GB" w:eastAsia="en-GB"/>
              </w:rPr>
              <w:drawing>
                <wp:inline distT="0" distB="0" distL="0" distR="0" wp14:anchorId="73845E92" wp14:editId="2421E88A">
                  <wp:extent cx="1260000" cy="1260000"/>
                  <wp:effectExtent l="0" t="0" r="0" b="0"/>
                  <wp:docPr id="1" name="Picture 1">
                    <a:hlinkClick xmlns:a="http://schemas.openxmlformats.org/drawingml/2006/main" r:id="rId13" tooltip="See Intranet for image placement guida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tc>
        <w:tc>
          <w:tcPr>
            <w:tcW w:w="7224" w:type="dxa"/>
          </w:tcPr>
          <w:p w:rsidR="00DD5E1F" w:rsidRPr="00DD5E1F" w:rsidRDefault="00B52131">
            <w:pPr>
              <w:pStyle w:val="ProfilePosition"/>
              <w:rPr>
                <w:lang w:eastAsia="ja-JP"/>
              </w:rPr>
            </w:pPr>
            <w:r>
              <w:rPr>
                <w:rStyle w:val="ProfileNameCharChar"/>
              </w:rPr>
              <w:t>Peter Godwin</w:t>
            </w:r>
            <w:r w:rsidR="004D6C3E">
              <w:t xml:space="preserve"> </w:t>
            </w:r>
            <w:r>
              <w:t>Managing Partner, Japan</w:t>
            </w:r>
            <w:r w:rsidR="00DD5E1F">
              <w:rPr>
                <w:rFonts w:hint="eastAsia"/>
                <w:lang w:eastAsia="ja-JP"/>
              </w:rPr>
              <w:br/>
              <w:t>Head of Dispute Resolution, Asia</w:t>
            </w:r>
          </w:p>
          <w:p w:rsidR="00D0470F" w:rsidRDefault="00B52131">
            <w:pPr>
              <w:pStyle w:val="PracticeGroupLocation"/>
            </w:pPr>
            <w:r>
              <w:t xml:space="preserve">Dispute Resolution, Tokyo </w:t>
            </w:r>
          </w:p>
          <w:p w:rsidR="00C049DB" w:rsidRDefault="00C049DB" w:rsidP="00C049DB">
            <w:pPr>
              <w:pStyle w:val="ProfileNumber"/>
            </w:pPr>
            <w:r>
              <w:t xml:space="preserve">T </w:t>
            </w:r>
            <w:r w:rsidR="00B52131">
              <w:t xml:space="preserve">+ 81 3 </w:t>
            </w:r>
            <w:r w:rsidR="00603D0D">
              <w:t>5412 5444</w:t>
            </w:r>
          </w:p>
          <w:p w:rsidR="00D0470F" w:rsidRDefault="00603D0D" w:rsidP="00603D0D">
            <w:pPr>
              <w:pStyle w:val="ProfileEmail"/>
            </w:pPr>
            <w:r>
              <w:t>peter.godwin</w:t>
            </w:r>
            <w:r w:rsidR="00C049DB">
              <w:t xml:space="preserve">@hsf.com </w:t>
            </w:r>
          </w:p>
        </w:tc>
      </w:tr>
    </w:tbl>
    <w:p w:rsidR="00C049DB" w:rsidRDefault="00C049DB" w:rsidP="00004922">
      <w:pPr>
        <w:pStyle w:val="ProfileHeading"/>
        <w:rPr>
          <w:rFonts w:hint="eastAsia"/>
        </w:rPr>
      </w:pPr>
      <w:r w:rsidRPr="00004922">
        <w:t>Experience</w:t>
      </w:r>
    </w:p>
    <w:p w:rsidR="00C049DB" w:rsidRDefault="00BA34E6" w:rsidP="00C049DB">
      <w:pPr>
        <w:pStyle w:val="ProfileBody"/>
        <w:rPr>
          <w:lang w:eastAsia="ja-JP"/>
        </w:rPr>
      </w:pPr>
      <w:r>
        <w:rPr>
          <w:rFonts w:hint="eastAsia"/>
          <w:lang w:eastAsia="ja-JP"/>
        </w:rPr>
        <w:t>Peter</w:t>
      </w:r>
      <w:r w:rsidR="00D77728">
        <w:rPr>
          <w:lang w:eastAsia="ja-JP"/>
        </w:rPr>
        <w:t xml:space="preserve"> leads the firm's regional dispute resolution practice as </w:t>
      </w:r>
      <w:r w:rsidR="00486B99">
        <w:rPr>
          <w:rFonts w:hint="eastAsia"/>
          <w:lang w:eastAsia="ja-JP"/>
        </w:rPr>
        <w:t>the</w:t>
      </w:r>
      <w:r w:rsidR="00D77728">
        <w:rPr>
          <w:lang w:eastAsia="ja-JP"/>
        </w:rPr>
        <w:t xml:space="preserve"> Head of Dispute Resolution in Asia. He is also the Managing Partner of </w:t>
      </w:r>
      <w:r>
        <w:rPr>
          <w:rFonts w:hint="eastAsia"/>
          <w:lang w:eastAsia="ja-JP"/>
        </w:rPr>
        <w:t>Heber</w:t>
      </w:r>
      <w:r w:rsidR="00D77728">
        <w:rPr>
          <w:rFonts w:hint="eastAsia"/>
          <w:lang w:eastAsia="ja-JP"/>
        </w:rPr>
        <w:t>t Smith Freehills' Tokyo office</w:t>
      </w:r>
      <w:r w:rsidR="00D77728">
        <w:rPr>
          <w:lang w:eastAsia="ja-JP"/>
        </w:rPr>
        <w:t xml:space="preserve">. </w:t>
      </w:r>
      <w:r w:rsidR="00004922" w:rsidRPr="00124C7D">
        <w:t>Peter’s practice covers a wide range of contentious matters, including international trade, construction, energy, IP&amp;IT, employment, joint ventures, fraud, telecoms, banking and insolvency.</w:t>
      </w:r>
      <w:r w:rsidR="00004922">
        <w:t xml:space="preserve"> </w:t>
      </w:r>
      <w:r w:rsidR="00D77728">
        <w:rPr>
          <w:lang w:eastAsia="ja-JP"/>
        </w:rPr>
        <w:t>He has</w:t>
      </w:r>
      <w:r w:rsidR="00124C7D" w:rsidRPr="00124C7D">
        <w:t xml:space="preserve"> extensive experience of litigation, arbitration and other forms of dispute resolution in </w:t>
      </w:r>
      <w:r w:rsidR="00004922">
        <w:t>Asia, Europe</w:t>
      </w:r>
      <w:r w:rsidR="00124C7D" w:rsidRPr="00124C7D">
        <w:t xml:space="preserve"> and the Middle East</w:t>
      </w:r>
      <w:r w:rsidR="00124C7D">
        <w:t>.</w:t>
      </w:r>
      <w:r w:rsidR="00106909">
        <w:t xml:space="preserve"> </w:t>
      </w:r>
      <w:r w:rsidR="00881980">
        <w:rPr>
          <w:rFonts w:hint="eastAsia"/>
          <w:lang w:eastAsia="ja-JP"/>
        </w:rPr>
        <w:t xml:space="preserve"> His arbitration expertise is well recognised within the market, with leading legal directories consistently ranking him in their top tier as a leading individual for </w:t>
      </w:r>
      <w:r w:rsidR="00004922">
        <w:rPr>
          <w:rFonts w:hint="eastAsia"/>
          <w:lang w:eastAsia="ja-JP"/>
        </w:rPr>
        <w:t>international arbitration</w:t>
      </w:r>
      <w:r w:rsidR="00004922">
        <w:rPr>
          <w:lang w:eastAsia="ja-JP"/>
        </w:rPr>
        <w:t>, as well as other means of dispute resolution.</w:t>
      </w:r>
    </w:p>
    <w:p w:rsidR="00124C7D" w:rsidRDefault="00124C7D" w:rsidP="00124C7D">
      <w:pPr>
        <w:pStyle w:val="ProfileBody"/>
      </w:pPr>
      <w:r>
        <w:t>Peter has acted in arbitrations under ICC, LCIA, HKIAC, SIAC, Thai Arbitration Institute, JCAA rules and before both pure ad hoc and UNCITRAL tribunals. He has represented clients in numerous arbitral centres around the world, including in London, Paris, New York, Stockholm, Oslo, Tokyo, Bangkok, Mumbai, Hong Kong and Singapore in disputes under English and other common and civil law systems. He also sits as an arbitrator and has recent experience under both ICC and JCAA rules</w:t>
      </w:r>
      <w:r w:rsidR="00034094">
        <w:t xml:space="preserve"> as well as being a panel member for HKIAC, SIAC and JCAA</w:t>
      </w:r>
      <w:r>
        <w:t>.</w:t>
      </w:r>
    </w:p>
    <w:p w:rsidR="00124C7D" w:rsidRDefault="00124C7D" w:rsidP="00124C7D">
      <w:pPr>
        <w:pStyle w:val="ProfileBody"/>
      </w:pPr>
      <w:r>
        <w:t xml:space="preserve">He is licensed to advise in Japan as a </w:t>
      </w:r>
      <w:r w:rsidRPr="00486B99">
        <w:rPr>
          <w:i/>
        </w:rPr>
        <w:t>Gaikokuho Jimu Bengoshi</w:t>
      </w:r>
      <w:r>
        <w:t xml:space="preserve"> and is qualified as a solicitor in England and Wales and Hong Kong.</w:t>
      </w:r>
    </w:p>
    <w:p w:rsidR="00011730" w:rsidRDefault="008727C1" w:rsidP="00004922">
      <w:pPr>
        <w:pStyle w:val="ProfileHeading"/>
        <w:rPr>
          <w:rFonts w:hint="eastAsia"/>
        </w:rPr>
      </w:pPr>
      <w:r>
        <w:t xml:space="preserve">Selected </w:t>
      </w:r>
      <w:r w:rsidR="00907373" w:rsidRPr="00004922">
        <w:rPr>
          <w:rFonts w:hint="eastAsia"/>
        </w:rPr>
        <w:t>arbitration</w:t>
      </w:r>
      <w:r w:rsidR="00907373">
        <w:rPr>
          <w:rFonts w:hint="eastAsia"/>
          <w:lang w:eastAsia="ja-JP"/>
        </w:rPr>
        <w:t xml:space="preserve"> </w:t>
      </w:r>
      <w:r>
        <w:t>c</w:t>
      </w:r>
      <w:r w:rsidR="00011730">
        <w:t>redentials</w:t>
      </w:r>
    </w:p>
    <w:p w:rsidR="00011730" w:rsidRDefault="00011730" w:rsidP="00004922">
      <w:pPr>
        <w:pStyle w:val="ProfileBody"/>
      </w:pPr>
      <w:r>
        <w:t>Peter has advised:</w:t>
      </w:r>
    </w:p>
    <w:p w:rsidR="000D1B7D" w:rsidRPr="00691509" w:rsidRDefault="000D1B7D" w:rsidP="000D1B7D">
      <w:pPr>
        <w:pStyle w:val="ProfileBullet"/>
      </w:pPr>
      <w:r w:rsidRPr="007A6A2A">
        <w:rPr>
          <w:lang w:val="en-GB"/>
        </w:rPr>
        <w:t xml:space="preserve">a Japanese subsidiary </w:t>
      </w:r>
      <w:r w:rsidRPr="007A6A2A">
        <w:rPr>
          <w:b/>
          <w:lang w:val="en-GB"/>
        </w:rPr>
        <w:t>of a major European pharmaceutical company</w:t>
      </w:r>
      <w:r w:rsidRPr="007A6A2A">
        <w:rPr>
          <w:lang w:val="en-GB"/>
        </w:rPr>
        <w:t xml:space="preserve"> engaged in ICC proceedings concerning the termination of a co-promotion agreement</w:t>
      </w:r>
      <w:r>
        <w:rPr>
          <w:lang w:val="en-GB"/>
        </w:rPr>
        <w:t xml:space="preserve"> </w:t>
      </w:r>
    </w:p>
    <w:p w:rsidR="00D77728" w:rsidRDefault="00D77728" w:rsidP="00D77728">
      <w:pPr>
        <w:pStyle w:val="ProfileBullet"/>
      </w:pPr>
      <w:r w:rsidRPr="00813142">
        <w:t xml:space="preserve">a </w:t>
      </w:r>
      <w:r w:rsidRPr="007E5B4D">
        <w:rPr>
          <w:b/>
        </w:rPr>
        <w:t>major Japanese company</w:t>
      </w:r>
      <w:r w:rsidRPr="00813142">
        <w:t xml:space="preserve"> in relation to an ICC arbitration in Tokyo against the main contractor in relation to claims arising out of a FIDIC Red Book based subcontract for construction works for a </w:t>
      </w:r>
      <w:r>
        <w:t xml:space="preserve">media centre in Hanoi, Vietnam </w:t>
      </w:r>
    </w:p>
    <w:p w:rsidR="00D77728" w:rsidRDefault="00D77728" w:rsidP="00D77728">
      <w:pPr>
        <w:pStyle w:val="ProfileBullet"/>
        <w:rPr>
          <w:lang w:val="en" w:eastAsia="ja-JP"/>
        </w:rPr>
      </w:pPr>
      <w:r w:rsidRPr="005043BF">
        <w:rPr>
          <w:lang w:val="en" w:eastAsia="ja-JP"/>
        </w:rPr>
        <w:t xml:space="preserve">an </w:t>
      </w:r>
      <w:r w:rsidRPr="005043BF">
        <w:rPr>
          <w:b/>
          <w:lang w:val="en" w:eastAsia="ja-JP"/>
        </w:rPr>
        <w:t>automobile manufacturer</w:t>
      </w:r>
      <w:r w:rsidRPr="005043BF">
        <w:rPr>
          <w:lang w:val="en" w:eastAsia="ja-JP"/>
        </w:rPr>
        <w:t xml:space="preserve"> in defending parallel claims for approximately US$350 million in the national courts of Thailand and under the rules of the JCAA for an alleged breach of the Civil and Commercial Code of Thailand</w:t>
      </w:r>
    </w:p>
    <w:p w:rsidR="00D77728" w:rsidRDefault="00D77728" w:rsidP="00D77728">
      <w:pPr>
        <w:pStyle w:val="ProfileBullet"/>
      </w:pPr>
      <w:r w:rsidRPr="00813142">
        <w:t xml:space="preserve">a </w:t>
      </w:r>
      <w:r w:rsidRPr="007E5B4D">
        <w:rPr>
          <w:b/>
        </w:rPr>
        <w:t>Japanese electronics manufacturer</w:t>
      </w:r>
      <w:r w:rsidRPr="00813142">
        <w:t xml:space="preserve"> in a CAA arbitration in Taipei in respect of a claim for US$10.5 million arising from a joint-venture agreement for the establishment and o</w:t>
      </w:r>
      <w:r>
        <w:t xml:space="preserve">peration of a factory in China </w:t>
      </w:r>
    </w:p>
    <w:p w:rsidR="00D77728" w:rsidRDefault="00D77728" w:rsidP="00D77728">
      <w:pPr>
        <w:pStyle w:val="ProfileBullet"/>
      </w:pPr>
      <w:r>
        <w:t xml:space="preserve">a </w:t>
      </w:r>
      <w:r w:rsidRPr="007E5B4D">
        <w:rPr>
          <w:b/>
        </w:rPr>
        <w:t xml:space="preserve">Japanese trading company </w:t>
      </w:r>
      <w:r w:rsidRPr="00A46049">
        <w:t>in ICC arbitration</w:t>
      </w:r>
      <w:r>
        <w:t xml:space="preserve"> against a Thai company in relation to a Thai power project </w:t>
      </w:r>
    </w:p>
    <w:p w:rsidR="00D77728" w:rsidRDefault="00D77728" w:rsidP="00D77728">
      <w:pPr>
        <w:pStyle w:val="ProfileBullet"/>
      </w:pPr>
      <w:r>
        <w:t xml:space="preserve">a </w:t>
      </w:r>
      <w:r w:rsidRPr="007E5B4D">
        <w:rPr>
          <w:b/>
        </w:rPr>
        <w:t>Japanese trading company</w:t>
      </w:r>
      <w:r>
        <w:t xml:space="preserve"> in relation to ad hoc arbitration in New York against the Government of Iraq arising from the Government's Debt Reconciliation Programme </w:t>
      </w:r>
    </w:p>
    <w:p w:rsidR="00D77728" w:rsidRDefault="00D77728" w:rsidP="00D77728">
      <w:pPr>
        <w:pStyle w:val="ProfileBullet"/>
      </w:pPr>
      <w:r>
        <w:t xml:space="preserve">a </w:t>
      </w:r>
      <w:r w:rsidRPr="007E5B4D">
        <w:rPr>
          <w:b/>
        </w:rPr>
        <w:t>Japanese exploration and production company</w:t>
      </w:r>
      <w:r>
        <w:t xml:space="preserve"> regarding Indonesian arbitration practices </w:t>
      </w:r>
    </w:p>
    <w:p w:rsidR="00D77728" w:rsidRDefault="00D77728" w:rsidP="00D77728">
      <w:pPr>
        <w:pStyle w:val="ProfileBullet"/>
      </w:pPr>
      <w:r>
        <w:t xml:space="preserve">a </w:t>
      </w:r>
      <w:r w:rsidRPr="007E5B4D">
        <w:rPr>
          <w:b/>
        </w:rPr>
        <w:t>major Japanese trading</w:t>
      </w:r>
      <w:r>
        <w:t xml:space="preserve"> </w:t>
      </w:r>
      <w:r w:rsidRPr="00011730">
        <w:rPr>
          <w:b/>
        </w:rPr>
        <w:t xml:space="preserve">company </w:t>
      </w:r>
      <w:r>
        <w:t xml:space="preserve">in relation to a debt claim and potential ICC arbitration in Singapore under contract for the sale and purchase of copper cathode </w:t>
      </w:r>
    </w:p>
    <w:p w:rsidR="00D77728" w:rsidRDefault="00D77728" w:rsidP="00D77728">
      <w:pPr>
        <w:pStyle w:val="ProfileBullet"/>
      </w:pPr>
      <w:r>
        <w:t xml:space="preserve">a </w:t>
      </w:r>
      <w:r w:rsidRPr="007E5B4D">
        <w:rPr>
          <w:b/>
        </w:rPr>
        <w:t>major Japanese trading company</w:t>
      </w:r>
      <w:r>
        <w:t xml:space="preserve"> in a dispute concerning an "out of spec" shipment of LNG from Indonesia under ad hoc arbitration rules in London </w:t>
      </w:r>
    </w:p>
    <w:p w:rsidR="00D77728" w:rsidRDefault="00D77728" w:rsidP="00D77728">
      <w:pPr>
        <w:pStyle w:val="ProfileBullet"/>
      </w:pPr>
      <w:r>
        <w:t xml:space="preserve">a </w:t>
      </w:r>
      <w:r w:rsidRPr="007E5B4D">
        <w:rPr>
          <w:b/>
        </w:rPr>
        <w:t>Japanese construction company</w:t>
      </w:r>
      <w:r>
        <w:t xml:space="preserve"> in relation to an arbitration before the Thai Arbitration Institute involving construction works at Suvarnabhumi Airport, Bangkok's new international airport </w:t>
      </w:r>
    </w:p>
    <w:p w:rsidR="00D77728" w:rsidRDefault="00D77728" w:rsidP="00D77728">
      <w:pPr>
        <w:pStyle w:val="ProfileBullet"/>
      </w:pPr>
      <w:r>
        <w:t xml:space="preserve">a </w:t>
      </w:r>
      <w:r w:rsidRPr="007E5B4D">
        <w:rPr>
          <w:b/>
        </w:rPr>
        <w:t>Japanese manufacturer</w:t>
      </w:r>
      <w:r>
        <w:t xml:space="preserve"> on enforcement issues relating to a Chinese arbitral award</w:t>
      </w:r>
    </w:p>
    <w:p w:rsidR="00D77728" w:rsidRDefault="00D77728" w:rsidP="00D77728">
      <w:pPr>
        <w:pStyle w:val="ProfileBullet"/>
      </w:pPr>
      <w:r>
        <w:t xml:space="preserve">a </w:t>
      </w:r>
      <w:r w:rsidRPr="007E5B4D">
        <w:rPr>
          <w:b/>
        </w:rPr>
        <w:t>Japanese retailer</w:t>
      </w:r>
      <w:r>
        <w:t xml:space="preserve"> in defending a US$70 million ICC arbitration in Bangkok concerning disputes arising out of terminated franchising video store arrangements </w:t>
      </w:r>
    </w:p>
    <w:p w:rsidR="00D77728" w:rsidRDefault="00D77728" w:rsidP="00D77728">
      <w:pPr>
        <w:pStyle w:val="ProfileBullet"/>
      </w:pPr>
      <w:r>
        <w:t xml:space="preserve">a </w:t>
      </w:r>
      <w:r w:rsidRPr="007E5B4D">
        <w:rPr>
          <w:b/>
        </w:rPr>
        <w:t>major Japanese engineering equipment manufacturer</w:t>
      </w:r>
      <w:r>
        <w:t xml:space="preserve"> on aspects of a Filipino construction arbitration</w:t>
      </w:r>
    </w:p>
    <w:p w:rsidR="00D77728" w:rsidRDefault="00D77728" w:rsidP="00D77728">
      <w:pPr>
        <w:pStyle w:val="ProfileBullet"/>
      </w:pPr>
      <w:r>
        <w:lastRenderedPageBreak/>
        <w:t xml:space="preserve">a </w:t>
      </w:r>
      <w:r w:rsidRPr="007E5B4D">
        <w:rPr>
          <w:b/>
        </w:rPr>
        <w:t>Japanese trading company</w:t>
      </w:r>
      <w:r>
        <w:t xml:space="preserve"> on an UNCITRAL arbitration in relation to a dispute based on counter-arguments against a notice of default in relation to a copper project in Indonesia </w:t>
      </w:r>
    </w:p>
    <w:p w:rsidR="00D77728" w:rsidRDefault="00D77728" w:rsidP="00D77728">
      <w:pPr>
        <w:pStyle w:val="ProfileBullet"/>
      </w:pPr>
      <w:r>
        <w:t xml:space="preserve">a </w:t>
      </w:r>
      <w:r w:rsidRPr="007E5B4D">
        <w:rPr>
          <w:b/>
        </w:rPr>
        <w:t>major Japanese trading company</w:t>
      </w:r>
      <w:r>
        <w:t xml:space="preserve"> on a shareholder dispute and potential arbitration under a share purchase agreement in relation to its interest in a major Indian telecommunications company </w:t>
      </w:r>
    </w:p>
    <w:p w:rsidR="00D77728" w:rsidRDefault="00D77728" w:rsidP="00D77728">
      <w:pPr>
        <w:pStyle w:val="ProfileBullet"/>
      </w:pPr>
      <w:r>
        <w:t xml:space="preserve">the </w:t>
      </w:r>
      <w:r w:rsidRPr="007E5B4D">
        <w:rPr>
          <w:b/>
        </w:rPr>
        <w:t>Thai arm of a Japanese construction company</w:t>
      </w:r>
      <w:r>
        <w:t xml:space="preserve"> in relation to claims arising out of the construction of a coal-fired power station </w:t>
      </w:r>
    </w:p>
    <w:p w:rsidR="00D77728" w:rsidRDefault="00D77728" w:rsidP="00D77728">
      <w:pPr>
        <w:pStyle w:val="ProfileBullet"/>
      </w:pPr>
      <w:r>
        <w:t xml:space="preserve">a </w:t>
      </w:r>
      <w:r w:rsidRPr="007E5B4D">
        <w:rPr>
          <w:b/>
        </w:rPr>
        <w:t>Japanese print company</w:t>
      </w:r>
      <w:r>
        <w:t xml:space="preserve"> on a dispute regarding interpretation of terms of a licensing agreement and a potential arbitration in Japan </w:t>
      </w:r>
    </w:p>
    <w:p w:rsidR="00D77728" w:rsidRDefault="00D77728" w:rsidP="00D77728">
      <w:pPr>
        <w:pStyle w:val="ProfileBullet"/>
      </w:pPr>
      <w:r>
        <w:t xml:space="preserve">a </w:t>
      </w:r>
      <w:r w:rsidRPr="007E5B4D">
        <w:rPr>
          <w:b/>
        </w:rPr>
        <w:t xml:space="preserve">Japanese trading company on a Japanese law UNCITRAL arbitration </w:t>
      </w:r>
      <w:r>
        <w:t>in Hong Kong in relation to an international trade dispute</w:t>
      </w:r>
    </w:p>
    <w:p w:rsidR="00D77728" w:rsidRDefault="00D77728" w:rsidP="00D77728">
      <w:pPr>
        <w:pStyle w:val="ProfileBullet"/>
      </w:pPr>
      <w:r>
        <w:t xml:space="preserve">a </w:t>
      </w:r>
      <w:r w:rsidRPr="007E5B4D">
        <w:rPr>
          <w:b/>
        </w:rPr>
        <w:t>Japanese manufacturing company</w:t>
      </w:r>
      <w:r>
        <w:t xml:space="preserve"> on questions of English law arising in the context of JCAA arbitration proceedings brought in Japan by a Japanese heavy goods manufacturer concerning the construction of marine vessels</w:t>
      </w:r>
    </w:p>
    <w:p w:rsidR="00D77728" w:rsidRDefault="00D77728" w:rsidP="00D77728">
      <w:pPr>
        <w:pStyle w:val="ProfileBullet"/>
      </w:pPr>
      <w:r>
        <w:t xml:space="preserve">a </w:t>
      </w:r>
      <w:r w:rsidRPr="007E5B4D">
        <w:rPr>
          <w:b/>
        </w:rPr>
        <w:t>Japanese electronics company</w:t>
      </w:r>
      <w:r>
        <w:t xml:space="preserve"> in relation to a potential SIAC arbitration in Singapore arising from a telecoms project</w:t>
      </w:r>
    </w:p>
    <w:p w:rsidR="007B23EF" w:rsidRPr="005A730A" w:rsidRDefault="007B23EF" w:rsidP="007B23EF">
      <w:pPr>
        <w:pStyle w:val="ProfileBullet"/>
        <w:rPr>
          <w:lang w:val="en" w:eastAsia="ja-JP"/>
        </w:rPr>
      </w:pPr>
      <w:r w:rsidRPr="0051608C">
        <w:rPr>
          <w:rFonts w:eastAsia="SimSun"/>
          <w:lang w:val="en-GB" w:eastAsia="hi-IN" w:bidi="hi-IN"/>
        </w:rPr>
        <w:t xml:space="preserve">a </w:t>
      </w:r>
      <w:r w:rsidRPr="00233BBD">
        <w:rPr>
          <w:rFonts w:eastAsia="SimSun"/>
          <w:b/>
          <w:lang w:val="en-GB" w:eastAsia="hi-IN" w:bidi="hi-IN"/>
        </w:rPr>
        <w:t>Japanese IT company</w:t>
      </w:r>
      <w:r w:rsidRPr="0051608C">
        <w:rPr>
          <w:rFonts w:eastAsia="SimSun"/>
          <w:lang w:val="en-GB" w:eastAsia="hi-IN" w:bidi="hi-IN"/>
        </w:rPr>
        <w:t xml:space="preserve"> on an ICC arbitration</w:t>
      </w:r>
      <w:r>
        <w:rPr>
          <w:rFonts w:hint="eastAsia"/>
          <w:lang w:val="en-GB" w:eastAsia="ja-JP" w:bidi="hi-IN"/>
        </w:rPr>
        <w:t xml:space="preserve"> for the recovery of up to US$150 million</w:t>
      </w:r>
      <w:r w:rsidRPr="0051608C">
        <w:rPr>
          <w:rFonts w:eastAsia="SimSun"/>
          <w:lang w:val="en-GB" w:eastAsia="hi-IN" w:bidi="hi-IN"/>
        </w:rPr>
        <w:t xml:space="preserve">, in connection with a contract for the construction of a submarine </w:t>
      </w:r>
      <w:r>
        <w:rPr>
          <w:rFonts w:eastAsia="SimSun"/>
          <w:lang w:val="en-GB" w:eastAsia="hi-IN" w:bidi="hi-IN"/>
        </w:rPr>
        <w:t>telecommunications cable system</w:t>
      </w:r>
    </w:p>
    <w:p w:rsidR="007B23EF" w:rsidRDefault="007B23EF" w:rsidP="007B23EF">
      <w:pPr>
        <w:pStyle w:val="ProfileBullet"/>
        <w:rPr>
          <w:lang w:val="en" w:eastAsia="ja-JP"/>
        </w:rPr>
      </w:pPr>
      <w:r w:rsidRPr="008727C1">
        <w:rPr>
          <w:lang w:val="en" w:eastAsia="ja-JP"/>
        </w:rPr>
        <w:t>a</w:t>
      </w:r>
      <w:r>
        <w:rPr>
          <w:b/>
          <w:lang w:val="en" w:eastAsia="ja-JP"/>
        </w:rPr>
        <w:t xml:space="preserve"> Japanese telecommunications company</w:t>
      </w:r>
      <w:r w:rsidRPr="005043BF">
        <w:rPr>
          <w:lang w:val="en" w:eastAsia="ja-JP"/>
        </w:rPr>
        <w:t xml:space="preserve"> on an ICC arbitration in Paris concerning a defective satellite  </w:t>
      </w:r>
    </w:p>
    <w:p w:rsidR="007B23EF" w:rsidRDefault="007B23EF" w:rsidP="007B23EF">
      <w:pPr>
        <w:pStyle w:val="ProfileBullet"/>
      </w:pPr>
      <w:r w:rsidRPr="00884462">
        <w:t xml:space="preserve">an </w:t>
      </w:r>
      <w:r w:rsidRPr="00884462">
        <w:rPr>
          <w:b/>
        </w:rPr>
        <w:t>auto</w:t>
      </w:r>
      <w:r>
        <w:rPr>
          <w:rFonts w:hint="eastAsia"/>
          <w:b/>
          <w:lang w:eastAsia="ja-JP"/>
        </w:rPr>
        <w:t>mobile</w:t>
      </w:r>
      <w:r w:rsidRPr="00884462">
        <w:rPr>
          <w:b/>
        </w:rPr>
        <w:t xml:space="preserve"> manufacturer</w:t>
      </w:r>
      <w:r w:rsidRPr="00884462">
        <w:t xml:space="preserve"> in relation to a debt claim and other contrac</w:t>
      </w:r>
      <w:r>
        <w:t>t</w:t>
      </w:r>
      <w:r w:rsidRPr="00884462">
        <w:t>ual issues arising from d</w:t>
      </w:r>
      <w:r>
        <w:t>istribution arrangements in Eur</w:t>
      </w:r>
      <w:r w:rsidRPr="00884462">
        <w:t>o</w:t>
      </w:r>
      <w:r>
        <w:t>p</w:t>
      </w:r>
      <w:r w:rsidRPr="00884462">
        <w:t>e and the US</w:t>
      </w:r>
      <w:r>
        <w:t xml:space="preserve"> </w:t>
      </w:r>
    </w:p>
    <w:p w:rsidR="007B23EF" w:rsidRDefault="007B23EF" w:rsidP="007B23EF">
      <w:pPr>
        <w:pStyle w:val="ProfileBullet"/>
      </w:pPr>
      <w:r w:rsidRPr="00D428B5">
        <w:t xml:space="preserve">an </w:t>
      </w:r>
      <w:r>
        <w:rPr>
          <w:b/>
        </w:rPr>
        <w:t>auto</w:t>
      </w:r>
      <w:r>
        <w:rPr>
          <w:rFonts w:hint="eastAsia"/>
          <w:b/>
          <w:lang w:eastAsia="ja-JP"/>
        </w:rPr>
        <w:t>mobile</w:t>
      </w:r>
      <w:r w:rsidRPr="00D428B5">
        <w:rPr>
          <w:b/>
        </w:rPr>
        <w:t xml:space="preserve"> manufacturer</w:t>
      </w:r>
      <w:r w:rsidRPr="00D428B5">
        <w:t xml:space="preserve"> on its Chilean distribution arrangements with CIDEF S.A.</w:t>
      </w:r>
      <w:r>
        <w:t xml:space="preserve"> </w:t>
      </w:r>
    </w:p>
    <w:p w:rsidR="007B23EF" w:rsidRDefault="007B23EF" w:rsidP="007B23EF">
      <w:pPr>
        <w:pStyle w:val="ProfileBullet"/>
      </w:pPr>
      <w:r>
        <w:t xml:space="preserve">a </w:t>
      </w:r>
      <w:r w:rsidRPr="007E5B4D">
        <w:rPr>
          <w:b/>
        </w:rPr>
        <w:t>Bolivian mining company</w:t>
      </w:r>
      <w:r>
        <w:t xml:space="preserve"> on a potential arbitration in relation to tax demand for USD 250 million </w:t>
      </w:r>
    </w:p>
    <w:p w:rsidR="007B23EF" w:rsidRDefault="007B23EF" w:rsidP="007B23EF">
      <w:pPr>
        <w:pStyle w:val="ProfileBullet"/>
      </w:pPr>
      <w:r>
        <w:t xml:space="preserve">a </w:t>
      </w:r>
      <w:r w:rsidRPr="007E5B4D">
        <w:rPr>
          <w:b/>
        </w:rPr>
        <w:t>major Japanese trading company</w:t>
      </w:r>
      <w:r>
        <w:t xml:space="preserve"> in a London ad-hoc arbitration and parallel TOMAC arbitration in relation to a dispute arising out of a series of ship building contracts </w:t>
      </w:r>
    </w:p>
    <w:p w:rsidR="007B23EF" w:rsidRDefault="007B23EF" w:rsidP="007B23EF">
      <w:pPr>
        <w:pStyle w:val="ProfileBullet"/>
      </w:pPr>
      <w:r>
        <w:t xml:space="preserve">a </w:t>
      </w:r>
      <w:r w:rsidRPr="007E5B4D">
        <w:rPr>
          <w:b/>
        </w:rPr>
        <w:t>major Japanese trading company</w:t>
      </w:r>
      <w:r>
        <w:t xml:space="preserve"> in successfully defending an ICC arbitration claim brought against it by its African joint venture party in connection with the distribution of automobiles </w:t>
      </w:r>
    </w:p>
    <w:p w:rsidR="007B23EF" w:rsidRDefault="007B23EF" w:rsidP="007B23EF">
      <w:pPr>
        <w:pStyle w:val="ProfileBullet"/>
      </w:pPr>
      <w:r>
        <w:t xml:space="preserve">a </w:t>
      </w:r>
      <w:r w:rsidRPr="007E5B4D">
        <w:rPr>
          <w:b/>
        </w:rPr>
        <w:t>Japanese steel flanges manufacturer</w:t>
      </w:r>
      <w:r>
        <w:t xml:space="preserve"> in regard to an arbitration filed in Russia </w:t>
      </w:r>
    </w:p>
    <w:p w:rsidR="007B23EF" w:rsidRDefault="007B23EF" w:rsidP="007B23EF">
      <w:pPr>
        <w:pStyle w:val="ProfileBullet"/>
      </w:pPr>
      <w:r>
        <w:t xml:space="preserve">a </w:t>
      </w:r>
      <w:r w:rsidRPr="007E5B4D">
        <w:rPr>
          <w:b/>
        </w:rPr>
        <w:t>Japanese trading company</w:t>
      </w:r>
      <w:r>
        <w:t xml:space="preserve"> (as a member of a contractor consortium) in relation to an ICC arbitration against the employer in respect of the early termination of a Euro 800 million FIDIC Silver Book construction contract for a high profile railway project in Europe </w:t>
      </w:r>
    </w:p>
    <w:p w:rsidR="007B23EF" w:rsidRDefault="007B23EF" w:rsidP="007B23EF">
      <w:pPr>
        <w:pStyle w:val="ProfileBullet"/>
      </w:pPr>
      <w:r>
        <w:t xml:space="preserve">a </w:t>
      </w:r>
      <w:r w:rsidRPr="007E5B4D">
        <w:rPr>
          <w:b/>
        </w:rPr>
        <w:t>Japanese maritime company</w:t>
      </w:r>
      <w:r>
        <w:t xml:space="preserve"> in relation to a termination of contract and consequent ad hoc arbitration in London </w:t>
      </w:r>
    </w:p>
    <w:p w:rsidR="007B23EF" w:rsidRDefault="007B23EF" w:rsidP="007B23EF">
      <w:pPr>
        <w:pStyle w:val="ProfileBullet"/>
      </w:pPr>
      <w:r>
        <w:t xml:space="preserve">a </w:t>
      </w:r>
      <w:r w:rsidRPr="007E5B4D">
        <w:rPr>
          <w:b/>
        </w:rPr>
        <w:t>Japanese legal association</w:t>
      </w:r>
      <w:r>
        <w:t xml:space="preserve"> on appointment as party appointed arbitrator in relation to a Japanese law dispute concerning the termination of a JV agreement </w:t>
      </w:r>
    </w:p>
    <w:p w:rsidR="007B23EF" w:rsidRDefault="007B23EF" w:rsidP="007B23EF">
      <w:pPr>
        <w:pStyle w:val="ProfileBullet"/>
      </w:pPr>
      <w:r>
        <w:t xml:space="preserve">a </w:t>
      </w:r>
      <w:r w:rsidRPr="007E5B4D">
        <w:rPr>
          <w:b/>
        </w:rPr>
        <w:t xml:space="preserve">major Japanese technology </w:t>
      </w:r>
      <w:r w:rsidRPr="00A46049">
        <w:rPr>
          <w:b/>
        </w:rPr>
        <w:t>company</w:t>
      </w:r>
      <w:r>
        <w:t xml:space="preserve"> regarding the validity of certain contracts under Swiss law and potential arbitration </w:t>
      </w:r>
    </w:p>
    <w:p w:rsidR="007B23EF" w:rsidRDefault="007B23EF" w:rsidP="007B23EF">
      <w:pPr>
        <w:pStyle w:val="ProfileBullet"/>
      </w:pPr>
      <w:r>
        <w:t xml:space="preserve">a </w:t>
      </w:r>
      <w:r w:rsidRPr="007E5B4D">
        <w:rPr>
          <w:b/>
        </w:rPr>
        <w:t>major Japanese trading company</w:t>
      </w:r>
      <w:r>
        <w:t xml:space="preserve"> on pure ad hoc arbitration under New York law for the recovery of debts arising out of pre-war construction projects from the Republic of Iraq worth in excess of US$360 million </w:t>
      </w:r>
    </w:p>
    <w:p w:rsidR="007B23EF" w:rsidRDefault="007B23EF" w:rsidP="007B23EF">
      <w:pPr>
        <w:pStyle w:val="ProfileBullet"/>
      </w:pPr>
      <w:r w:rsidRPr="00813142">
        <w:t xml:space="preserve">a </w:t>
      </w:r>
      <w:r w:rsidRPr="007E5B4D">
        <w:rPr>
          <w:b/>
        </w:rPr>
        <w:t>Japanese trading company</w:t>
      </w:r>
      <w:r w:rsidRPr="00813142">
        <w:t xml:space="preserve"> on complex legal issues regarding international arbitration in the US and Russia and domestic dispute resolution options available to them in relation to achieving a satisfactory outcome in an oil and gas dispute </w:t>
      </w:r>
    </w:p>
    <w:p w:rsidR="007B23EF" w:rsidRDefault="007B23EF" w:rsidP="007B23EF">
      <w:pPr>
        <w:pStyle w:val="ProfileBullet"/>
      </w:pPr>
      <w:r w:rsidRPr="00691509">
        <w:rPr>
          <w:rFonts w:hint="eastAsia"/>
          <w:lang w:eastAsia="ja-JP"/>
        </w:rPr>
        <w:t>a</w:t>
      </w:r>
      <w:r>
        <w:rPr>
          <w:rFonts w:hint="eastAsia"/>
          <w:b/>
          <w:lang w:eastAsia="ja-JP"/>
        </w:rPr>
        <w:t xml:space="preserve"> Japanese heavy industries company </w:t>
      </w:r>
      <w:r>
        <w:t>in two ICC arbitrations which proceeded to trial in late 2007 concerning disputes arising out of the construction of two power plants in England</w:t>
      </w:r>
    </w:p>
    <w:p w:rsidR="007B23EF" w:rsidRDefault="007B23EF" w:rsidP="007B23EF">
      <w:pPr>
        <w:pStyle w:val="ProfileBullet"/>
      </w:pPr>
      <w:r w:rsidRPr="00691509">
        <w:rPr>
          <w:rFonts w:hint="eastAsia"/>
          <w:lang w:eastAsia="ja-JP"/>
        </w:rPr>
        <w:t>a</w:t>
      </w:r>
      <w:r>
        <w:rPr>
          <w:rFonts w:hint="eastAsia"/>
          <w:b/>
          <w:lang w:eastAsia="ja-JP"/>
        </w:rPr>
        <w:t xml:space="preserve"> Japanese heavy industries company </w:t>
      </w:r>
      <w:r>
        <w:t>in relation to the recovery of outstanding debt from the Iraqi Government during reconciliation processes, successfully obtaining four arbitration awards before ad hoc tribunals in New York, Jordan and Beirut</w:t>
      </w:r>
    </w:p>
    <w:p w:rsidR="007B23EF" w:rsidRDefault="007B23EF" w:rsidP="007B23EF">
      <w:pPr>
        <w:pStyle w:val="ProfileBullet"/>
      </w:pPr>
      <w:r w:rsidRPr="00691509">
        <w:rPr>
          <w:rFonts w:hint="eastAsia"/>
          <w:lang w:eastAsia="ja-JP"/>
        </w:rPr>
        <w:t>a</w:t>
      </w:r>
      <w:r>
        <w:rPr>
          <w:rFonts w:hint="eastAsia"/>
          <w:b/>
          <w:lang w:eastAsia="ja-JP"/>
        </w:rPr>
        <w:t xml:space="preserve"> Japanese trading company</w:t>
      </w:r>
      <w:r>
        <w:t xml:space="preserve"> in its successful £1 million claim brought under ICC Arbitration over a contract for the production of a US$159 million turn key cement plant in Qatar</w:t>
      </w:r>
    </w:p>
    <w:p w:rsidR="007B23EF" w:rsidRDefault="007B23EF" w:rsidP="007B23EF">
      <w:pPr>
        <w:pStyle w:val="ProfileBullet"/>
      </w:pPr>
      <w:r w:rsidRPr="00691509">
        <w:rPr>
          <w:rFonts w:hint="eastAsia"/>
          <w:lang w:eastAsia="ja-JP"/>
        </w:rPr>
        <w:t>a</w:t>
      </w:r>
      <w:r>
        <w:rPr>
          <w:rFonts w:hint="eastAsia"/>
          <w:b/>
          <w:lang w:eastAsia="ja-JP"/>
        </w:rPr>
        <w:t xml:space="preserve"> </w:t>
      </w:r>
      <w:r>
        <w:rPr>
          <w:b/>
          <w:lang w:eastAsia="ja-JP"/>
        </w:rPr>
        <w:t>Japanese</w:t>
      </w:r>
      <w:r>
        <w:rPr>
          <w:rFonts w:hint="eastAsia"/>
          <w:b/>
          <w:lang w:eastAsia="ja-JP"/>
        </w:rPr>
        <w:t xml:space="preserve"> construction company</w:t>
      </w:r>
      <w:r>
        <w:t xml:space="preserve"> on an ICC arbitration regarding a US$20 million + subcontract dispute with the employer on an Algerian power and desalination project</w:t>
      </w:r>
    </w:p>
    <w:p w:rsidR="007B23EF" w:rsidRDefault="007B23EF" w:rsidP="007B23EF">
      <w:pPr>
        <w:pStyle w:val="ProfileBullet"/>
      </w:pPr>
      <w:r>
        <w:lastRenderedPageBreak/>
        <w:t xml:space="preserve">a </w:t>
      </w:r>
      <w:r w:rsidRPr="007E5B4D">
        <w:rPr>
          <w:b/>
        </w:rPr>
        <w:t>Japanese construction and real estate company</w:t>
      </w:r>
      <w:r>
        <w:t xml:space="preserve"> on commenced JCAA arbitration against a Japanese heavy industry company in respect of outstanding payments relating to the construction of a desalination and brine outfall plant in Algeria </w:t>
      </w:r>
    </w:p>
    <w:p w:rsidR="007B23EF" w:rsidRDefault="007B23EF" w:rsidP="007B23EF">
      <w:pPr>
        <w:pStyle w:val="ProfileBullet"/>
      </w:pPr>
      <w:r>
        <w:t xml:space="preserve">a </w:t>
      </w:r>
      <w:r w:rsidRPr="007E5B4D">
        <w:rPr>
          <w:b/>
        </w:rPr>
        <w:t>Japanese trading company</w:t>
      </w:r>
      <w:r>
        <w:t xml:space="preserve"> in relation to an LCIA arbitration in London and related injunctive proceedings in Russia with respect to a dispute concerning commercial fishing rights in the sea of Okhotsk</w:t>
      </w:r>
    </w:p>
    <w:p w:rsidR="007B23EF" w:rsidRDefault="007B23EF" w:rsidP="007B23EF">
      <w:pPr>
        <w:pStyle w:val="ProfileBullet"/>
      </w:pPr>
      <w:r>
        <w:t xml:space="preserve">a </w:t>
      </w:r>
      <w:r w:rsidRPr="007E5B4D">
        <w:rPr>
          <w:b/>
        </w:rPr>
        <w:t>Japanese oil company</w:t>
      </w:r>
      <w:r>
        <w:t xml:space="preserve"> in relation to potential arbitrations involving Exxon Mobil arising out of pre-emption disputes in relation to oil fields in Kazakhstan and Azerbaijan</w:t>
      </w:r>
    </w:p>
    <w:p w:rsidR="007B23EF" w:rsidRDefault="007B23EF" w:rsidP="007B23EF">
      <w:pPr>
        <w:pStyle w:val="ProfileBullet"/>
      </w:pPr>
      <w:r>
        <w:t xml:space="preserve">a </w:t>
      </w:r>
      <w:r w:rsidRPr="007E5B4D">
        <w:rPr>
          <w:b/>
        </w:rPr>
        <w:t xml:space="preserve">Japanese trading company in relation to ICC arbitration </w:t>
      </w:r>
      <w:r w:rsidRPr="007E5B4D">
        <w:t>in Paris</w:t>
      </w:r>
      <w:r>
        <w:t xml:space="preserve"> against the Iraqi Government arising out of the failed refinancing of several infrastructure projects</w:t>
      </w:r>
    </w:p>
    <w:p w:rsidR="007B23EF" w:rsidRDefault="007B23EF" w:rsidP="007B23EF">
      <w:pPr>
        <w:pStyle w:val="ProfileBullet"/>
      </w:pPr>
      <w:r>
        <w:t xml:space="preserve">a </w:t>
      </w:r>
      <w:r w:rsidRPr="007E5B4D">
        <w:rPr>
          <w:b/>
        </w:rPr>
        <w:t>Japanese trading company</w:t>
      </w:r>
      <w:r>
        <w:t xml:space="preserve"> in relation to a potential investment treaty arbitration against an Eastern European Government arising from a gold mining project</w:t>
      </w:r>
    </w:p>
    <w:p w:rsidR="008727C1" w:rsidRDefault="008727C1" w:rsidP="008727C1">
      <w:pPr>
        <w:pStyle w:val="ProfileHeading"/>
        <w:rPr>
          <w:rFonts w:hint="eastAsia"/>
          <w:lang w:val="en" w:eastAsia="ja-JP"/>
        </w:rPr>
      </w:pPr>
      <w:r w:rsidRPr="00D77728">
        <w:rPr>
          <w:lang w:val="en" w:eastAsia="ja-JP"/>
        </w:rPr>
        <w:t>Selected accolades</w:t>
      </w:r>
    </w:p>
    <w:p w:rsidR="008727C1" w:rsidRDefault="008727C1" w:rsidP="008727C1">
      <w:pPr>
        <w:pStyle w:val="ProfileBullet"/>
        <w:rPr>
          <w:i/>
        </w:rPr>
      </w:pPr>
      <w:r w:rsidRPr="00B572BC">
        <w:t>Leading individual: International Arbitration (Asia-Pacific</w:t>
      </w:r>
      <w:r>
        <w:t xml:space="preserve"> Region</w:t>
      </w:r>
      <w:r w:rsidRPr="00B572BC">
        <w:t>)</w:t>
      </w:r>
      <w:r>
        <w:br/>
      </w:r>
      <w:r w:rsidRPr="00DD0D9A">
        <w:rPr>
          <w:i/>
        </w:rPr>
        <w:t>Chambers Asia-Pacific</w:t>
      </w:r>
      <w:r>
        <w:rPr>
          <w:i/>
        </w:rPr>
        <w:t xml:space="preserve">, </w:t>
      </w:r>
      <w:r w:rsidRPr="00DD0D9A">
        <w:rPr>
          <w:i/>
        </w:rPr>
        <w:t>2012</w:t>
      </w:r>
      <w:r w:rsidR="00FF1C65">
        <w:rPr>
          <w:i/>
        </w:rPr>
        <w:t>-2015</w:t>
      </w:r>
    </w:p>
    <w:p w:rsidR="008727C1" w:rsidRPr="008727C1" w:rsidRDefault="008727C1" w:rsidP="008727C1">
      <w:pPr>
        <w:pStyle w:val="ProfileBullet"/>
      </w:pPr>
      <w:r w:rsidRPr="00CB7D12">
        <w:t>Leading individual: Ranked in Band 1 for Japan - Dispute Resolution: International Firms</w:t>
      </w:r>
      <w:r>
        <w:br/>
      </w:r>
      <w:r w:rsidRPr="00CB7D12">
        <w:rPr>
          <w:i/>
        </w:rPr>
        <w:t>Chambers Asia-Pacific 2008 –201</w:t>
      </w:r>
      <w:r w:rsidR="00FF1C65">
        <w:rPr>
          <w:i/>
        </w:rPr>
        <w:t>5</w:t>
      </w:r>
    </w:p>
    <w:p w:rsidR="008727C1" w:rsidRPr="005A730A" w:rsidRDefault="008727C1" w:rsidP="008727C1">
      <w:pPr>
        <w:pStyle w:val="ProfileBullet"/>
      </w:pPr>
      <w:r w:rsidRPr="00124C7D">
        <w:t>Leading Individual for Dispute Resolution</w:t>
      </w:r>
      <w:r>
        <w:t xml:space="preserve"> - Japan</w:t>
      </w:r>
      <w:r w:rsidRPr="00124C7D">
        <w:t>: international firms and joint ventures</w:t>
      </w:r>
      <w:r>
        <w:br/>
      </w:r>
      <w:r w:rsidRPr="00D26569">
        <w:rPr>
          <w:i/>
        </w:rPr>
        <w:t>Asia Pacific Legal 500</w:t>
      </w:r>
      <w:r>
        <w:rPr>
          <w:i/>
        </w:rPr>
        <w:t xml:space="preserve">, </w:t>
      </w:r>
      <w:r w:rsidR="00FF1C65">
        <w:rPr>
          <w:i/>
        </w:rPr>
        <w:t>2002-2015</w:t>
      </w:r>
    </w:p>
    <w:p w:rsidR="00FF1C65" w:rsidRDefault="00FF1C65" w:rsidP="00FF1C65">
      <w:pPr>
        <w:pStyle w:val="ProfileBullet"/>
      </w:pPr>
      <w:r>
        <w:t>Peter Godwin is the managing partner of the Tokyo office and head of disputes in Asia. He is especially rated for his expert knowledge of arbitration</w:t>
      </w:r>
      <w:r w:rsidR="00034094">
        <w:t xml:space="preserve"> …</w:t>
      </w:r>
      <w:r>
        <w:t>. Clients prize his decisive approach, saying that he "is very practical and always gives an answer: he's not a fence-sitter."</w:t>
      </w:r>
      <w:r w:rsidR="00D77728">
        <w:br/>
      </w:r>
      <w:r>
        <w:t>Chambers Asia Pacific, 2015 (Japan: Dispute Resolution – International firms)</w:t>
      </w:r>
    </w:p>
    <w:p w:rsidR="00D77728" w:rsidRPr="00D77728" w:rsidRDefault="00D77728" w:rsidP="00D77728">
      <w:pPr>
        <w:pStyle w:val="ProfileBullet"/>
        <w:rPr>
          <w:lang w:eastAsia="ja-JP"/>
        </w:rPr>
      </w:pPr>
      <w:r w:rsidRPr="00A52899">
        <w:rPr>
          <w:lang w:eastAsia="ja-JP"/>
        </w:rPr>
        <w:t>Peter Godwin's strengths are his "</w:t>
      </w:r>
      <w:r w:rsidRPr="008412FE">
        <w:rPr>
          <w:i/>
          <w:lang w:eastAsia="ja-JP"/>
        </w:rPr>
        <w:t>expertise, experience and responsiveness</w:t>
      </w:r>
      <w:r w:rsidRPr="00A52899">
        <w:rPr>
          <w:lang w:eastAsia="ja-JP"/>
        </w:rPr>
        <w:t>". He is the head of the Asia disputes practice, and peers note that he is "</w:t>
      </w:r>
      <w:r w:rsidRPr="008412FE">
        <w:rPr>
          <w:i/>
          <w:lang w:eastAsia="ja-JP"/>
        </w:rPr>
        <w:t>very effective in this market</w:t>
      </w:r>
      <w:r w:rsidRPr="00A52899">
        <w:rPr>
          <w:lang w:eastAsia="ja-JP"/>
        </w:rPr>
        <w:t xml:space="preserve">." He represents clients in both arbitration and </w:t>
      </w:r>
      <w:r w:rsidRPr="00D77728">
        <w:rPr>
          <w:lang w:eastAsia="ja-JP"/>
        </w:rPr>
        <w:t>litigation.</w:t>
      </w:r>
      <w:r w:rsidRPr="00D77728">
        <w:rPr>
          <w:lang w:eastAsia="ja-JP"/>
        </w:rPr>
        <w:br/>
      </w:r>
      <w:r w:rsidRPr="00D77728">
        <w:rPr>
          <w:i/>
          <w:lang w:eastAsia="ja-JP"/>
        </w:rPr>
        <w:t>Chambers Asia-Pacific, 2015 (Dispute Resolution)</w:t>
      </w:r>
    </w:p>
    <w:p w:rsidR="005A730A" w:rsidRPr="005A730A" w:rsidRDefault="005A730A" w:rsidP="008727C1">
      <w:pPr>
        <w:pStyle w:val="ProfileBullet"/>
      </w:pPr>
      <w:r w:rsidRPr="00D77728">
        <w:t>Practice head Peter Godwin is valued by his Japanese clients as "</w:t>
      </w:r>
      <w:r w:rsidRPr="00D77728">
        <w:rPr>
          <w:i/>
        </w:rPr>
        <w:t>one of the doyens of the Japanese market, who knows us very well and navigates us through the deep sea of dispute resolution</w:t>
      </w:r>
      <w:r w:rsidRPr="00D77728">
        <w:t>." Peers have "</w:t>
      </w:r>
      <w:r w:rsidRPr="00D77728">
        <w:rPr>
          <w:i/>
        </w:rPr>
        <w:t>no hesitation in recommending him for arbitration</w:t>
      </w:r>
      <w:r w:rsidRPr="00D77728">
        <w:t>," characterising him as "</w:t>
      </w:r>
      <w:r w:rsidRPr="00D77728">
        <w:rPr>
          <w:i/>
        </w:rPr>
        <w:t>a kind of superstar</w:t>
      </w:r>
      <w:r w:rsidRPr="00D77728">
        <w:t>" in that space.</w:t>
      </w:r>
      <w:r w:rsidRPr="00D77728">
        <w:br/>
      </w:r>
      <w:r w:rsidRPr="00D77728">
        <w:rPr>
          <w:i/>
          <w:lang w:eastAsia="ja-JP"/>
        </w:rPr>
        <w:t>Chambers Global, 2014 (Japan region)</w:t>
      </w:r>
    </w:p>
    <w:p w:rsidR="005A730A" w:rsidRPr="00D77728" w:rsidRDefault="005A730A" w:rsidP="005A730A">
      <w:pPr>
        <w:pStyle w:val="ProfileBullet"/>
        <w:rPr>
          <w:i/>
          <w:lang w:eastAsia="ja-JP"/>
        </w:rPr>
      </w:pPr>
      <w:r w:rsidRPr="00FF56AC">
        <w:t xml:space="preserve">Sources recommend Peter Godwin as a superstar of the Japanese dispute resolution space. They also admire his </w:t>
      </w:r>
      <w:r w:rsidRPr="00D77728">
        <w:t>work on major regional arbitration cases, noting that "</w:t>
      </w:r>
      <w:r w:rsidRPr="00D77728">
        <w:rPr>
          <w:i/>
        </w:rPr>
        <w:t>he is quick in grasping the points of a dispute and the needs of the client</w:t>
      </w:r>
      <w:r w:rsidRPr="00D77728">
        <w:t>."</w:t>
      </w:r>
      <w:r w:rsidRPr="00D77728">
        <w:br/>
      </w:r>
      <w:r w:rsidRPr="00D77728">
        <w:rPr>
          <w:i/>
          <w:lang w:eastAsia="ja-JP"/>
        </w:rPr>
        <w:t>Chambers Asia-Pacific, 2014 (Asia-Pacific region)</w:t>
      </w:r>
    </w:p>
    <w:p w:rsidR="008727C1" w:rsidRPr="00D77728" w:rsidRDefault="008727C1" w:rsidP="008727C1">
      <w:pPr>
        <w:pStyle w:val="ProfileBullet"/>
        <w:rPr>
          <w:lang w:eastAsia="ja-JP"/>
        </w:rPr>
      </w:pPr>
      <w:r w:rsidRPr="00D77728">
        <w:t xml:space="preserve">"Peter Godwin is the department head, hailed by one client as </w:t>
      </w:r>
      <w:r w:rsidRPr="00D77728">
        <w:rPr>
          <w:i/>
        </w:rPr>
        <w:t>'the</w:t>
      </w:r>
      <w:r w:rsidRPr="00D77728">
        <w:t xml:space="preserve"> </w:t>
      </w:r>
      <w:r w:rsidRPr="00D77728">
        <w:rPr>
          <w:i/>
        </w:rPr>
        <w:t>star who represents the ongoing virtue of</w:t>
      </w:r>
      <w:r w:rsidRPr="00D77728">
        <w:t xml:space="preserve"> [the firm's] </w:t>
      </w:r>
      <w:r w:rsidRPr="00D77728">
        <w:rPr>
          <w:i/>
        </w:rPr>
        <w:t>dispute resolution practice</w:t>
      </w:r>
      <w:r w:rsidRPr="00D77728">
        <w:t>'."</w:t>
      </w:r>
      <w:r w:rsidRPr="00D77728">
        <w:br/>
      </w:r>
      <w:r w:rsidRPr="00D77728">
        <w:rPr>
          <w:i/>
        </w:rPr>
        <w:t>Chambers Asia-Pacific 2013</w:t>
      </w:r>
    </w:p>
    <w:p w:rsidR="00D77728" w:rsidRPr="00D77728" w:rsidRDefault="00D77728" w:rsidP="00D77728">
      <w:pPr>
        <w:pStyle w:val="ProfileBullet"/>
        <w:rPr>
          <w:i/>
          <w:lang w:eastAsia="ja-JP"/>
        </w:rPr>
      </w:pPr>
      <w:r w:rsidRPr="00D77728">
        <w:t xml:space="preserve">"Managing partner Peter Godwin has been based in Japan for over a decade and is credited with </w:t>
      </w:r>
      <w:r w:rsidRPr="00D77728">
        <w:rPr>
          <w:i/>
        </w:rPr>
        <w:t>'building the leading arbitration practice in town</w:t>
      </w:r>
      <w:r w:rsidRPr="00D77728">
        <w:t>.' He provides the team with the benefit of his vast litigation and arbitration experience in Europe, Asia and the Middle East."</w:t>
      </w:r>
      <w:r w:rsidRPr="00D77728">
        <w:br/>
      </w:r>
      <w:r w:rsidRPr="00D77728">
        <w:rPr>
          <w:i/>
          <w:lang w:eastAsia="ja-JP"/>
        </w:rPr>
        <w:t>Chambers Asia-Pacific, 2012</w:t>
      </w:r>
    </w:p>
    <w:p w:rsidR="00FF1C65" w:rsidRPr="00D77728" w:rsidRDefault="00FF1C65" w:rsidP="008727C1">
      <w:pPr>
        <w:pStyle w:val="ProfileBullet"/>
        <w:rPr>
          <w:lang w:eastAsia="ja-JP"/>
        </w:rPr>
      </w:pPr>
      <w:r w:rsidRPr="00D77728">
        <w:t>"disputes guru"</w:t>
      </w:r>
      <w:r w:rsidRPr="00D77728">
        <w:br/>
      </w:r>
      <w:r w:rsidRPr="00D77728">
        <w:rPr>
          <w:i/>
        </w:rPr>
        <w:t>Who's Who Legal, Commercial Arbitration, 2012</w:t>
      </w:r>
    </w:p>
    <w:p w:rsidR="00D77728" w:rsidRPr="008727C1" w:rsidRDefault="00D77728" w:rsidP="008727C1">
      <w:pPr>
        <w:pStyle w:val="ProfileBullet"/>
        <w:rPr>
          <w:lang w:eastAsia="ja-JP"/>
        </w:rPr>
      </w:pPr>
      <w:r w:rsidRPr="00D77728">
        <w:t xml:space="preserve">"[Peter Godwin is] </w:t>
      </w:r>
      <w:r w:rsidRPr="00D77728">
        <w:rPr>
          <w:i/>
        </w:rPr>
        <w:t>'smart, a good strategist and a real arbitration expert'</w:t>
      </w:r>
      <w:r w:rsidRPr="00D77728">
        <w:t>."</w:t>
      </w:r>
      <w:r w:rsidRPr="00D77728">
        <w:br/>
      </w:r>
      <w:r w:rsidRPr="00D77728">
        <w:rPr>
          <w:i/>
          <w:lang w:eastAsia="ja-JP"/>
        </w:rPr>
        <w:t>Chambers Asia-Pacific, 2012</w:t>
      </w:r>
    </w:p>
    <w:sectPr w:rsidR="00D77728" w:rsidRPr="008727C1">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FD6" w:rsidRDefault="00745FD6">
      <w:pPr>
        <w:spacing w:before="0" w:after="0" w:line="240" w:lineRule="auto"/>
      </w:pPr>
      <w:r>
        <w:separator/>
      </w:r>
    </w:p>
  </w:endnote>
  <w:endnote w:type="continuationSeparator" w:id="0">
    <w:p w:rsidR="00745FD6" w:rsidRDefault="00745F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4C" w:rsidRPr="000A674C" w:rsidRDefault="00E14E70" w:rsidP="000A674C">
    <w:pPr>
      <w:pStyle w:val="Footer"/>
      <w:tabs>
        <w:tab w:val="clear" w:pos="4153"/>
        <w:tab w:val="clear" w:pos="8306"/>
        <w:tab w:val="right" w:pos="8787"/>
      </w:tabs>
    </w:pPr>
    <w:sdt>
      <w:sdtPr>
        <w:rPr>
          <w:szCs w:val="14"/>
        </w:rPr>
        <w:tag w:val="cciManRef"/>
        <w:id w:val="-219440416"/>
        <w:lock w:val="sdtLocked"/>
        <w:dataBinding w:prefixMappings="xmlns:hs='urn:HerbertSmith.Office.Word.Global'" w:xpath="//hs:root/iManRef" w:storeItemID="{82AE4627-CF5B-4B64-A3ED-5CB493C7F895}"/>
        <w:text/>
      </w:sdtPr>
      <w:sdtEndPr/>
      <w:sdtContent>
        <w:r w:rsidR="00D77728">
          <w:rPr>
            <w:szCs w:val="14"/>
            <w:lang w:val="en-GB"/>
          </w:rPr>
          <w:t>09/5127276_1</w:t>
        </w:r>
      </w:sdtContent>
    </w:sdt>
    <w:r w:rsidR="00250D4C">
      <w:rPr>
        <w:szCs w:val="14"/>
      </w:rPr>
      <w:ptab w:relativeTo="margin" w:alignment="right" w:leader="none"/>
    </w:r>
    <w:r w:rsidR="00250D4C">
      <w:fldChar w:fldCharType="begin"/>
    </w:r>
    <w:r w:rsidR="00250D4C">
      <w:rPr>
        <w:rStyle w:val="HeaderChar"/>
        <w:szCs w:val="14"/>
      </w:rPr>
      <w:instrText xml:space="preserve"> PAGE \* MERGEFORMAT </w:instrText>
    </w:r>
    <w:r w:rsidR="00250D4C">
      <w:fldChar w:fldCharType="separate"/>
    </w:r>
    <w:r w:rsidR="00250D4C">
      <w:rPr>
        <w:rStyle w:val="HeaderChar"/>
        <w:noProof/>
        <w:szCs w:val="14"/>
      </w:rPr>
      <w:t>1</w:t>
    </w:r>
    <w:r w:rsidR="00250D4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4C" w:rsidRPr="000A674C" w:rsidRDefault="00E14E70" w:rsidP="000A674C">
    <w:pPr>
      <w:pStyle w:val="Footer"/>
      <w:tabs>
        <w:tab w:val="clear" w:pos="4153"/>
        <w:tab w:val="clear" w:pos="8306"/>
        <w:tab w:val="right" w:pos="8787"/>
      </w:tabs>
    </w:pPr>
    <w:sdt>
      <w:sdtPr>
        <w:rPr>
          <w:szCs w:val="14"/>
        </w:rPr>
        <w:tag w:val="cciManRef"/>
        <w:id w:val="1544098434"/>
        <w:lock w:val="sdtLocked"/>
        <w:dataBinding w:prefixMappings="xmlns:hs='urn:HerbertSmith.Office.Word.Global'" w:xpath="//hs:root/iManRef" w:storeItemID="{82AE4627-CF5B-4B64-A3ED-5CB493C7F895}"/>
        <w:text/>
      </w:sdtPr>
      <w:sdtEndPr/>
      <w:sdtContent>
        <w:r w:rsidR="00D77728">
          <w:rPr>
            <w:szCs w:val="14"/>
            <w:lang w:val="en-GB"/>
          </w:rPr>
          <w:t>09/5127276_1</w:t>
        </w:r>
      </w:sdtContent>
    </w:sdt>
    <w:r w:rsidR="00250D4C">
      <w:rPr>
        <w:szCs w:val="14"/>
      </w:rPr>
      <w:ptab w:relativeTo="margin" w:alignment="right" w:leader="none"/>
    </w:r>
    <w:r w:rsidR="00250D4C">
      <w:fldChar w:fldCharType="begin"/>
    </w:r>
    <w:r w:rsidR="00250D4C">
      <w:rPr>
        <w:rStyle w:val="HeaderChar"/>
        <w:szCs w:val="14"/>
      </w:rPr>
      <w:instrText xml:space="preserve"> PAGE \* MERGEFORMAT </w:instrText>
    </w:r>
    <w:r w:rsidR="00250D4C">
      <w:fldChar w:fldCharType="separate"/>
    </w:r>
    <w:r>
      <w:rPr>
        <w:rStyle w:val="HeaderChar"/>
        <w:noProof/>
        <w:szCs w:val="14"/>
      </w:rPr>
      <w:t>1</w:t>
    </w:r>
    <w:r w:rsidR="00250D4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4C" w:rsidRPr="000A674C" w:rsidRDefault="00E14E70" w:rsidP="000A674C">
    <w:pPr>
      <w:pStyle w:val="Footer"/>
      <w:tabs>
        <w:tab w:val="clear" w:pos="4153"/>
        <w:tab w:val="clear" w:pos="8306"/>
        <w:tab w:val="right" w:pos="8787"/>
      </w:tabs>
    </w:pPr>
    <w:sdt>
      <w:sdtPr>
        <w:rPr>
          <w:szCs w:val="14"/>
        </w:rPr>
        <w:tag w:val="cciManRef"/>
        <w:id w:val="1528289682"/>
        <w:lock w:val="sdtLocked"/>
        <w:dataBinding w:prefixMappings="xmlns:hs='urn:HerbertSmith.Office.Word.Global'" w:xpath="//hs:root/iManRef" w:storeItemID="{82AE4627-CF5B-4B64-A3ED-5CB493C7F895}"/>
        <w:text/>
      </w:sdtPr>
      <w:sdtEndPr/>
      <w:sdtContent>
        <w:r w:rsidR="00D77728">
          <w:rPr>
            <w:szCs w:val="14"/>
            <w:lang w:val="en-GB"/>
          </w:rPr>
          <w:t>09/5127276_1</w:t>
        </w:r>
      </w:sdtContent>
    </w:sdt>
    <w:r w:rsidR="00250D4C">
      <w:rPr>
        <w:szCs w:val="14"/>
      </w:rPr>
      <w:ptab w:relativeTo="margin" w:alignment="right" w:leader="none"/>
    </w:r>
    <w:r w:rsidR="00250D4C">
      <w:fldChar w:fldCharType="begin"/>
    </w:r>
    <w:r w:rsidR="00250D4C">
      <w:rPr>
        <w:rStyle w:val="HeaderChar"/>
        <w:szCs w:val="14"/>
      </w:rPr>
      <w:instrText xml:space="preserve"> PAGE \* MERGEFORMAT </w:instrText>
    </w:r>
    <w:r w:rsidR="00250D4C">
      <w:fldChar w:fldCharType="separate"/>
    </w:r>
    <w:r w:rsidR="00250D4C">
      <w:rPr>
        <w:rStyle w:val="HeaderChar"/>
        <w:noProof/>
        <w:szCs w:val="14"/>
      </w:rPr>
      <w:t>1</w:t>
    </w:r>
    <w:r w:rsidR="00250D4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FD6" w:rsidRDefault="00745FD6">
      <w:pPr>
        <w:spacing w:before="0" w:after="0" w:line="240" w:lineRule="auto"/>
      </w:pPr>
      <w:r>
        <w:separator/>
      </w:r>
    </w:p>
  </w:footnote>
  <w:footnote w:type="continuationSeparator" w:id="0">
    <w:p w:rsidR="00745FD6" w:rsidRDefault="00745FD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77" w:rsidRDefault="00A43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7" w:type="dxa"/>
      <w:tblCellMar>
        <w:left w:w="0" w:type="dxa"/>
        <w:right w:w="0" w:type="dxa"/>
      </w:tblCellMar>
      <w:tblLook w:val="01E0" w:firstRow="1" w:lastRow="1" w:firstColumn="1" w:lastColumn="1" w:noHBand="0" w:noVBand="0"/>
    </w:tblPr>
    <w:tblGrid>
      <w:gridCol w:w="4748"/>
      <w:gridCol w:w="4749"/>
    </w:tblGrid>
    <w:tr w:rsidR="00250D4C">
      <w:trPr>
        <w:cantSplit/>
        <w:trHeight w:hRule="exact" w:val="1428"/>
      </w:trPr>
      <w:tc>
        <w:tcPr>
          <w:tcW w:w="4748" w:type="dxa"/>
        </w:tcPr>
        <w:p w:rsidR="00250D4C" w:rsidRDefault="00250D4C">
          <w:pPr>
            <w:pStyle w:val="Header"/>
            <w:tabs>
              <w:tab w:val="clear" w:pos="4153"/>
              <w:tab w:val="clear" w:pos="8306"/>
              <w:tab w:val="left" w:pos="4065"/>
            </w:tabs>
          </w:pPr>
          <w:r>
            <w:rPr>
              <w:noProof/>
              <w:lang w:val="en-GB" w:eastAsia="en-GB"/>
            </w:rPr>
            <w:drawing>
              <wp:inline distT="0" distB="0" distL="0" distR="0" wp14:anchorId="06187E43" wp14:editId="74B0780D">
                <wp:extent cx="1390650" cy="600075"/>
                <wp:effectExtent l="0" t="0" r="0" b="9525"/>
                <wp:docPr id="3" name="Picture 3" descr="HSF_Logo16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F_Logo16_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00075"/>
                        </a:xfrm>
                        <a:prstGeom prst="rect">
                          <a:avLst/>
                        </a:prstGeom>
                        <a:noFill/>
                        <a:ln>
                          <a:noFill/>
                        </a:ln>
                      </pic:spPr>
                    </pic:pic>
                  </a:graphicData>
                </a:graphic>
              </wp:inline>
            </w:drawing>
          </w:r>
        </w:p>
      </w:tc>
      <w:tc>
        <w:tcPr>
          <w:tcW w:w="4749" w:type="dxa"/>
        </w:tcPr>
        <w:p w:rsidR="00250D4C" w:rsidRDefault="00250D4C">
          <w:pPr>
            <w:pStyle w:val="Header2"/>
          </w:pPr>
        </w:p>
      </w:tc>
    </w:tr>
  </w:tbl>
  <w:p w:rsidR="00250D4C" w:rsidRPr="00E14E70" w:rsidRDefault="00250D4C" w:rsidP="00E14E70">
    <w:pPr>
      <w:pStyle w:val="HeaderFooter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77" w:rsidRDefault="00A43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7712"/>
    <w:multiLevelType w:val="singleLevel"/>
    <w:tmpl w:val="8ECCCEC0"/>
    <w:lvl w:ilvl="0">
      <w:start w:val="1"/>
      <w:numFmt w:val="decimal"/>
      <w:pStyle w:val="ListNumber5"/>
      <w:lvlText w:val="%1."/>
      <w:lvlJc w:val="left"/>
      <w:pPr>
        <w:tabs>
          <w:tab w:val="num" w:pos="1492"/>
        </w:tabs>
        <w:ind w:left="1492" w:hanging="360"/>
      </w:pPr>
    </w:lvl>
  </w:abstractNum>
  <w:abstractNum w:abstractNumId="1">
    <w:nsid w:val="114F3521"/>
    <w:multiLevelType w:val="singleLevel"/>
    <w:tmpl w:val="CD46B500"/>
    <w:lvl w:ilvl="0">
      <w:start w:val="1"/>
      <w:numFmt w:val="decimal"/>
      <w:pStyle w:val="ListNumber4"/>
      <w:lvlText w:val="%1."/>
      <w:lvlJc w:val="left"/>
      <w:pPr>
        <w:tabs>
          <w:tab w:val="num" w:pos="1209"/>
        </w:tabs>
        <w:ind w:left="1209" w:hanging="360"/>
      </w:pPr>
    </w:lvl>
  </w:abstractNum>
  <w:abstractNum w:abstractNumId="2">
    <w:nsid w:val="186D4E8F"/>
    <w:multiLevelType w:val="singleLevel"/>
    <w:tmpl w:val="218E9E42"/>
    <w:lvl w:ilvl="0">
      <w:start w:val="1"/>
      <w:numFmt w:val="bullet"/>
      <w:pStyle w:val="ListBullet3"/>
      <w:lvlText w:val=""/>
      <w:lvlJc w:val="left"/>
      <w:pPr>
        <w:tabs>
          <w:tab w:val="num" w:pos="926"/>
        </w:tabs>
        <w:ind w:left="926" w:hanging="360"/>
      </w:pPr>
      <w:rPr>
        <w:rFonts w:ascii="Symbol" w:hAnsi="Symbol" w:hint="default"/>
        <w:sz w:val="16"/>
      </w:rPr>
    </w:lvl>
  </w:abstractNum>
  <w:abstractNum w:abstractNumId="3">
    <w:nsid w:val="24CD73D3"/>
    <w:multiLevelType w:val="singleLevel"/>
    <w:tmpl w:val="6EA2BF64"/>
    <w:lvl w:ilvl="0">
      <w:start w:val="1"/>
      <w:numFmt w:val="decimal"/>
      <w:pStyle w:val="ListNumber3"/>
      <w:lvlText w:val="%1."/>
      <w:lvlJc w:val="left"/>
      <w:pPr>
        <w:tabs>
          <w:tab w:val="num" w:pos="926"/>
        </w:tabs>
        <w:ind w:left="926" w:hanging="360"/>
      </w:pPr>
    </w:lvl>
  </w:abstractNum>
  <w:abstractNum w:abstractNumId="4">
    <w:nsid w:val="25E73DA4"/>
    <w:multiLevelType w:val="hybridMultilevel"/>
    <w:tmpl w:val="1788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635AEF"/>
    <w:multiLevelType w:val="multilevel"/>
    <w:tmpl w:val="B53E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5F3D8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9286B26"/>
    <w:multiLevelType w:val="multilevel"/>
    <w:tmpl w:val="DE90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2C04A6"/>
    <w:multiLevelType w:val="singleLevel"/>
    <w:tmpl w:val="E23466A0"/>
    <w:lvl w:ilvl="0">
      <w:start w:val="1"/>
      <w:numFmt w:val="bullet"/>
      <w:pStyle w:val="ProfileBullet"/>
      <w:lvlText w:val=""/>
      <w:lvlJc w:val="left"/>
      <w:pPr>
        <w:tabs>
          <w:tab w:val="num" w:pos="1487"/>
        </w:tabs>
        <w:ind w:left="1487" w:hanging="352"/>
      </w:pPr>
      <w:rPr>
        <w:rFonts w:ascii="Symbol" w:hAnsi="Symbol" w:hint="default"/>
        <w:color w:val="003366"/>
        <w:sz w:val="18"/>
      </w:rPr>
    </w:lvl>
  </w:abstractNum>
  <w:abstractNum w:abstractNumId="9">
    <w:nsid w:val="41F50DBC"/>
    <w:multiLevelType w:val="singleLevel"/>
    <w:tmpl w:val="2C729706"/>
    <w:lvl w:ilvl="0">
      <w:start w:val="1"/>
      <w:numFmt w:val="bullet"/>
      <w:pStyle w:val="ListBullet4"/>
      <w:lvlText w:val=""/>
      <w:lvlJc w:val="left"/>
      <w:pPr>
        <w:tabs>
          <w:tab w:val="num" w:pos="1209"/>
        </w:tabs>
        <w:ind w:left="1209" w:hanging="360"/>
      </w:pPr>
      <w:rPr>
        <w:rFonts w:ascii="Symbol" w:hAnsi="Symbol" w:hint="default"/>
        <w:sz w:val="16"/>
      </w:rPr>
    </w:lvl>
  </w:abstractNum>
  <w:abstractNum w:abstractNumId="10">
    <w:nsid w:val="4751350C"/>
    <w:multiLevelType w:val="hybridMultilevel"/>
    <w:tmpl w:val="8CC85868"/>
    <w:lvl w:ilvl="0" w:tplc="AB16ED82">
      <w:start w:val="1"/>
      <w:numFmt w:val="bullet"/>
      <w:lvlText w:val=""/>
      <w:lvlJc w:val="left"/>
      <w:pPr>
        <w:tabs>
          <w:tab w:val="num" w:pos="3196"/>
        </w:tabs>
        <w:ind w:left="3196" w:hanging="360"/>
      </w:pPr>
      <w:rPr>
        <w:rFonts w:ascii="Symbol" w:hAnsi="Symbol" w:hint="default"/>
        <w:color w:val="auto"/>
      </w:rPr>
    </w:lvl>
    <w:lvl w:ilvl="1" w:tplc="08090003" w:tentative="1">
      <w:start w:val="1"/>
      <w:numFmt w:val="bullet"/>
      <w:lvlText w:val="o"/>
      <w:lvlJc w:val="left"/>
      <w:pPr>
        <w:tabs>
          <w:tab w:val="num" w:pos="3556"/>
        </w:tabs>
        <w:ind w:left="3556" w:hanging="360"/>
      </w:pPr>
      <w:rPr>
        <w:rFonts w:ascii="Courier New" w:hAnsi="Courier New" w:hint="default"/>
      </w:rPr>
    </w:lvl>
    <w:lvl w:ilvl="2" w:tplc="08090005" w:tentative="1">
      <w:start w:val="1"/>
      <w:numFmt w:val="bullet"/>
      <w:lvlText w:val=""/>
      <w:lvlJc w:val="left"/>
      <w:pPr>
        <w:tabs>
          <w:tab w:val="num" w:pos="4276"/>
        </w:tabs>
        <w:ind w:left="4276" w:hanging="360"/>
      </w:pPr>
      <w:rPr>
        <w:rFonts w:ascii="Wingdings" w:hAnsi="Wingdings" w:hint="default"/>
      </w:rPr>
    </w:lvl>
    <w:lvl w:ilvl="3" w:tplc="08090001" w:tentative="1">
      <w:start w:val="1"/>
      <w:numFmt w:val="bullet"/>
      <w:lvlText w:val=""/>
      <w:lvlJc w:val="left"/>
      <w:pPr>
        <w:tabs>
          <w:tab w:val="num" w:pos="4996"/>
        </w:tabs>
        <w:ind w:left="4996" w:hanging="360"/>
      </w:pPr>
      <w:rPr>
        <w:rFonts w:ascii="Symbol" w:hAnsi="Symbol" w:hint="default"/>
      </w:rPr>
    </w:lvl>
    <w:lvl w:ilvl="4" w:tplc="08090003" w:tentative="1">
      <w:start w:val="1"/>
      <w:numFmt w:val="bullet"/>
      <w:lvlText w:val="o"/>
      <w:lvlJc w:val="left"/>
      <w:pPr>
        <w:tabs>
          <w:tab w:val="num" w:pos="5716"/>
        </w:tabs>
        <w:ind w:left="5716" w:hanging="360"/>
      </w:pPr>
      <w:rPr>
        <w:rFonts w:ascii="Courier New" w:hAnsi="Courier New" w:hint="default"/>
      </w:rPr>
    </w:lvl>
    <w:lvl w:ilvl="5" w:tplc="08090005" w:tentative="1">
      <w:start w:val="1"/>
      <w:numFmt w:val="bullet"/>
      <w:lvlText w:val=""/>
      <w:lvlJc w:val="left"/>
      <w:pPr>
        <w:tabs>
          <w:tab w:val="num" w:pos="6436"/>
        </w:tabs>
        <w:ind w:left="6436" w:hanging="360"/>
      </w:pPr>
      <w:rPr>
        <w:rFonts w:ascii="Wingdings" w:hAnsi="Wingdings" w:hint="default"/>
      </w:rPr>
    </w:lvl>
    <w:lvl w:ilvl="6" w:tplc="08090001" w:tentative="1">
      <w:start w:val="1"/>
      <w:numFmt w:val="bullet"/>
      <w:lvlText w:val=""/>
      <w:lvlJc w:val="left"/>
      <w:pPr>
        <w:tabs>
          <w:tab w:val="num" w:pos="7156"/>
        </w:tabs>
        <w:ind w:left="7156" w:hanging="360"/>
      </w:pPr>
      <w:rPr>
        <w:rFonts w:ascii="Symbol" w:hAnsi="Symbol" w:hint="default"/>
      </w:rPr>
    </w:lvl>
    <w:lvl w:ilvl="7" w:tplc="08090003" w:tentative="1">
      <w:start w:val="1"/>
      <w:numFmt w:val="bullet"/>
      <w:lvlText w:val="o"/>
      <w:lvlJc w:val="left"/>
      <w:pPr>
        <w:tabs>
          <w:tab w:val="num" w:pos="7876"/>
        </w:tabs>
        <w:ind w:left="7876" w:hanging="360"/>
      </w:pPr>
      <w:rPr>
        <w:rFonts w:ascii="Courier New" w:hAnsi="Courier New" w:hint="default"/>
      </w:rPr>
    </w:lvl>
    <w:lvl w:ilvl="8" w:tplc="08090005" w:tentative="1">
      <w:start w:val="1"/>
      <w:numFmt w:val="bullet"/>
      <w:lvlText w:val=""/>
      <w:lvlJc w:val="left"/>
      <w:pPr>
        <w:tabs>
          <w:tab w:val="num" w:pos="8596"/>
        </w:tabs>
        <w:ind w:left="8596" w:hanging="360"/>
      </w:pPr>
      <w:rPr>
        <w:rFonts w:ascii="Wingdings" w:hAnsi="Wingdings" w:hint="default"/>
      </w:rPr>
    </w:lvl>
  </w:abstractNum>
  <w:abstractNum w:abstractNumId="11">
    <w:nsid w:val="4AE60DD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58C25774"/>
    <w:multiLevelType w:val="singleLevel"/>
    <w:tmpl w:val="69AE9E78"/>
    <w:lvl w:ilvl="0">
      <w:start w:val="1"/>
      <w:numFmt w:val="bullet"/>
      <w:pStyle w:val="ListBullet"/>
      <w:lvlText w:val=""/>
      <w:lvlJc w:val="left"/>
      <w:pPr>
        <w:tabs>
          <w:tab w:val="num" w:pos="360"/>
        </w:tabs>
        <w:ind w:left="360" w:hanging="360"/>
      </w:pPr>
      <w:rPr>
        <w:rFonts w:ascii="Symbol" w:hAnsi="Symbol" w:hint="default"/>
        <w:sz w:val="16"/>
      </w:rPr>
    </w:lvl>
  </w:abstractNum>
  <w:abstractNum w:abstractNumId="13">
    <w:nsid w:val="65AA76D5"/>
    <w:multiLevelType w:val="multilevel"/>
    <w:tmpl w:val="538801CC"/>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6F4E4F2C"/>
    <w:multiLevelType w:val="singleLevel"/>
    <w:tmpl w:val="29D8AD2E"/>
    <w:lvl w:ilvl="0">
      <w:start w:val="1"/>
      <w:numFmt w:val="bullet"/>
      <w:lvlText w:val=""/>
      <w:lvlJc w:val="left"/>
      <w:pPr>
        <w:tabs>
          <w:tab w:val="num" w:pos="352"/>
        </w:tabs>
        <w:ind w:left="352" w:hanging="352"/>
      </w:pPr>
      <w:rPr>
        <w:rFonts w:ascii="Symbol" w:hAnsi="Symbol" w:hint="default"/>
        <w:color w:val="002947"/>
        <w:sz w:val="18"/>
      </w:rPr>
    </w:lvl>
  </w:abstractNum>
  <w:abstractNum w:abstractNumId="15">
    <w:nsid w:val="707910AD"/>
    <w:multiLevelType w:val="singleLevel"/>
    <w:tmpl w:val="E5929BC6"/>
    <w:lvl w:ilvl="0">
      <w:start w:val="1"/>
      <w:numFmt w:val="bullet"/>
      <w:pStyle w:val="ProfileBulletIndent"/>
      <w:lvlText w:val="–"/>
      <w:lvlJc w:val="left"/>
      <w:pPr>
        <w:tabs>
          <w:tab w:val="num" w:pos="709"/>
        </w:tabs>
        <w:ind w:left="709" w:hanging="340"/>
      </w:pPr>
      <w:rPr>
        <w:rFonts w:ascii="Arial" w:hAnsi="Arial" w:cs="Times New Roman" w:hint="default"/>
        <w:b w:val="0"/>
        <w:i w:val="0"/>
        <w:color w:val="003366"/>
        <w:sz w:val="18"/>
        <w:szCs w:val="16"/>
      </w:rPr>
    </w:lvl>
  </w:abstractNum>
  <w:abstractNum w:abstractNumId="16">
    <w:nsid w:val="769A4807"/>
    <w:multiLevelType w:val="singleLevel"/>
    <w:tmpl w:val="1334FC18"/>
    <w:lvl w:ilvl="0">
      <w:start w:val="1"/>
      <w:numFmt w:val="decimal"/>
      <w:pStyle w:val="ListNumber"/>
      <w:lvlText w:val="%1."/>
      <w:lvlJc w:val="left"/>
      <w:pPr>
        <w:tabs>
          <w:tab w:val="num" w:pos="360"/>
        </w:tabs>
        <w:ind w:left="360" w:hanging="360"/>
      </w:pPr>
    </w:lvl>
  </w:abstractNum>
  <w:abstractNum w:abstractNumId="17">
    <w:nsid w:val="77D27F1B"/>
    <w:multiLevelType w:val="singleLevel"/>
    <w:tmpl w:val="29C0F6E2"/>
    <w:lvl w:ilvl="0">
      <w:start w:val="1"/>
      <w:numFmt w:val="bullet"/>
      <w:pStyle w:val="ListBullet2"/>
      <w:lvlText w:val=""/>
      <w:lvlJc w:val="left"/>
      <w:pPr>
        <w:tabs>
          <w:tab w:val="num" w:pos="643"/>
        </w:tabs>
        <w:ind w:left="643" w:hanging="360"/>
      </w:pPr>
      <w:rPr>
        <w:rFonts w:ascii="Symbol" w:hAnsi="Symbol" w:hint="default"/>
        <w:sz w:val="16"/>
      </w:rPr>
    </w:lvl>
  </w:abstractNum>
  <w:abstractNum w:abstractNumId="18">
    <w:nsid w:val="77E25901"/>
    <w:multiLevelType w:val="singleLevel"/>
    <w:tmpl w:val="87983AB4"/>
    <w:lvl w:ilvl="0">
      <w:start w:val="1"/>
      <w:numFmt w:val="bullet"/>
      <w:pStyle w:val="ListBullet5"/>
      <w:lvlText w:val=""/>
      <w:lvlJc w:val="left"/>
      <w:pPr>
        <w:tabs>
          <w:tab w:val="num" w:pos="1492"/>
        </w:tabs>
        <w:ind w:left="1492" w:hanging="360"/>
      </w:pPr>
      <w:rPr>
        <w:rFonts w:ascii="Symbol" w:hAnsi="Symbol" w:hint="default"/>
        <w:sz w:val="16"/>
      </w:rPr>
    </w:lvl>
  </w:abstractNum>
  <w:abstractNum w:abstractNumId="19">
    <w:nsid w:val="7F954F66"/>
    <w:multiLevelType w:val="singleLevel"/>
    <w:tmpl w:val="96C449F6"/>
    <w:lvl w:ilvl="0">
      <w:start w:val="1"/>
      <w:numFmt w:val="decimal"/>
      <w:pStyle w:val="ListNumber2"/>
      <w:lvlText w:val="%1."/>
      <w:lvlJc w:val="left"/>
      <w:pPr>
        <w:tabs>
          <w:tab w:val="num" w:pos="643"/>
        </w:tabs>
        <w:ind w:left="643" w:hanging="360"/>
      </w:pPr>
    </w:lvl>
  </w:abstractNum>
  <w:num w:numId="1">
    <w:abstractNumId w:val="15"/>
  </w:num>
  <w:num w:numId="2">
    <w:abstractNumId w:val="8"/>
  </w:num>
  <w:num w:numId="3">
    <w:abstractNumId w:val="12"/>
  </w:num>
  <w:num w:numId="4">
    <w:abstractNumId w:val="17"/>
  </w:num>
  <w:num w:numId="5">
    <w:abstractNumId w:val="2"/>
  </w:num>
  <w:num w:numId="6">
    <w:abstractNumId w:val="9"/>
  </w:num>
  <w:num w:numId="7">
    <w:abstractNumId w:val="18"/>
  </w:num>
  <w:num w:numId="8">
    <w:abstractNumId w:val="16"/>
  </w:num>
  <w:num w:numId="9">
    <w:abstractNumId w:val="19"/>
  </w:num>
  <w:num w:numId="10">
    <w:abstractNumId w:val="3"/>
  </w:num>
  <w:num w:numId="11">
    <w:abstractNumId w:val="1"/>
  </w:num>
  <w:num w:numId="12">
    <w:abstractNumId w:val="0"/>
  </w:num>
  <w:num w:numId="13">
    <w:abstractNumId w:val="11"/>
  </w:num>
  <w:num w:numId="14">
    <w:abstractNumId w:val="6"/>
  </w:num>
  <w:num w:numId="15">
    <w:abstractNumId w:val="13"/>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0"/>
  </w:num>
  <w:num w:numId="29">
    <w:abstractNumId w:val="8"/>
  </w:num>
  <w:num w:numId="30">
    <w:abstractNumId w:val="8"/>
  </w:num>
  <w:num w:numId="31">
    <w:abstractNumId w:val="8"/>
  </w:num>
  <w:num w:numId="32">
    <w:abstractNumId w:val="8"/>
  </w:num>
  <w:num w:numId="33">
    <w:abstractNumId w:val="4"/>
  </w:num>
  <w:num w:numId="34">
    <w:abstractNumId w:val="7"/>
  </w:num>
  <w:num w:numId="35">
    <w:abstractNumId w:val="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SortMethod w:val="0000"/>
  <w:defaultTabStop w:val="851"/>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0F"/>
    <w:rsid w:val="00004922"/>
    <w:rsid w:val="00011730"/>
    <w:rsid w:val="000131DC"/>
    <w:rsid w:val="00023ACF"/>
    <w:rsid w:val="00034094"/>
    <w:rsid w:val="000373E1"/>
    <w:rsid w:val="00050705"/>
    <w:rsid w:val="000602A6"/>
    <w:rsid w:val="00060655"/>
    <w:rsid w:val="000611FF"/>
    <w:rsid w:val="00067C63"/>
    <w:rsid w:val="00070E56"/>
    <w:rsid w:val="00095730"/>
    <w:rsid w:val="000A674C"/>
    <w:rsid w:val="000B09A7"/>
    <w:rsid w:val="000C13B0"/>
    <w:rsid w:val="000C69D2"/>
    <w:rsid w:val="000D1B7D"/>
    <w:rsid w:val="000D275A"/>
    <w:rsid w:val="000E3F1A"/>
    <w:rsid w:val="000F7AF0"/>
    <w:rsid w:val="0010340C"/>
    <w:rsid w:val="00106909"/>
    <w:rsid w:val="00124C7D"/>
    <w:rsid w:val="0013404F"/>
    <w:rsid w:val="00140A87"/>
    <w:rsid w:val="0018613B"/>
    <w:rsid w:val="001A1371"/>
    <w:rsid w:val="001C050E"/>
    <w:rsid w:val="001F1056"/>
    <w:rsid w:val="0020276E"/>
    <w:rsid w:val="00216386"/>
    <w:rsid w:val="00217F34"/>
    <w:rsid w:val="00250D4C"/>
    <w:rsid w:val="00254A9B"/>
    <w:rsid w:val="00273182"/>
    <w:rsid w:val="00273DC0"/>
    <w:rsid w:val="00275FFE"/>
    <w:rsid w:val="00276632"/>
    <w:rsid w:val="00295E4C"/>
    <w:rsid w:val="002A3D30"/>
    <w:rsid w:val="002A3FB1"/>
    <w:rsid w:val="002B068D"/>
    <w:rsid w:val="002C1F1A"/>
    <w:rsid w:val="002D0E46"/>
    <w:rsid w:val="002D4116"/>
    <w:rsid w:val="002E38D8"/>
    <w:rsid w:val="002F4732"/>
    <w:rsid w:val="00313049"/>
    <w:rsid w:val="0036641B"/>
    <w:rsid w:val="003859F3"/>
    <w:rsid w:val="003B1626"/>
    <w:rsid w:val="003B5F2C"/>
    <w:rsid w:val="003C223E"/>
    <w:rsid w:val="003D3098"/>
    <w:rsid w:val="003D421C"/>
    <w:rsid w:val="003F235D"/>
    <w:rsid w:val="00426B3D"/>
    <w:rsid w:val="00427465"/>
    <w:rsid w:val="00433B73"/>
    <w:rsid w:val="00434E87"/>
    <w:rsid w:val="004376B6"/>
    <w:rsid w:val="0045524A"/>
    <w:rsid w:val="00464289"/>
    <w:rsid w:val="0048583E"/>
    <w:rsid w:val="00486B99"/>
    <w:rsid w:val="004D0922"/>
    <w:rsid w:val="004D6C3E"/>
    <w:rsid w:val="005043BF"/>
    <w:rsid w:val="00506207"/>
    <w:rsid w:val="00522ECF"/>
    <w:rsid w:val="005254B3"/>
    <w:rsid w:val="00530EAA"/>
    <w:rsid w:val="0054416E"/>
    <w:rsid w:val="00545F7C"/>
    <w:rsid w:val="00555937"/>
    <w:rsid w:val="00571B46"/>
    <w:rsid w:val="00575B2A"/>
    <w:rsid w:val="00590B60"/>
    <w:rsid w:val="005A730A"/>
    <w:rsid w:val="005B4DAC"/>
    <w:rsid w:val="005B5153"/>
    <w:rsid w:val="005C1C8F"/>
    <w:rsid w:val="005D5A5E"/>
    <w:rsid w:val="005E0D18"/>
    <w:rsid w:val="005F7F79"/>
    <w:rsid w:val="00603D0D"/>
    <w:rsid w:val="006062C4"/>
    <w:rsid w:val="00634A25"/>
    <w:rsid w:val="00674139"/>
    <w:rsid w:val="00691F7E"/>
    <w:rsid w:val="006961AA"/>
    <w:rsid w:val="006C0E6F"/>
    <w:rsid w:val="006E6FED"/>
    <w:rsid w:val="00711B2A"/>
    <w:rsid w:val="00720B32"/>
    <w:rsid w:val="007232D7"/>
    <w:rsid w:val="00730E39"/>
    <w:rsid w:val="007357BC"/>
    <w:rsid w:val="0074316A"/>
    <w:rsid w:val="00743246"/>
    <w:rsid w:val="00745FD6"/>
    <w:rsid w:val="0074663F"/>
    <w:rsid w:val="007620D0"/>
    <w:rsid w:val="00771732"/>
    <w:rsid w:val="0077631C"/>
    <w:rsid w:val="007A6A2A"/>
    <w:rsid w:val="007B23EF"/>
    <w:rsid w:val="007C4396"/>
    <w:rsid w:val="007C7CBA"/>
    <w:rsid w:val="007D628D"/>
    <w:rsid w:val="007E46CA"/>
    <w:rsid w:val="007E5B4D"/>
    <w:rsid w:val="00803802"/>
    <w:rsid w:val="00805275"/>
    <w:rsid w:val="00806057"/>
    <w:rsid w:val="00812B1F"/>
    <w:rsid w:val="00813142"/>
    <w:rsid w:val="00816ACA"/>
    <w:rsid w:val="0082634A"/>
    <w:rsid w:val="0083691D"/>
    <w:rsid w:val="008727C1"/>
    <w:rsid w:val="00876985"/>
    <w:rsid w:val="00876A67"/>
    <w:rsid w:val="00877B15"/>
    <w:rsid w:val="00881980"/>
    <w:rsid w:val="00884462"/>
    <w:rsid w:val="008B448E"/>
    <w:rsid w:val="008C36F1"/>
    <w:rsid w:val="008C6EFB"/>
    <w:rsid w:val="008D301A"/>
    <w:rsid w:val="008D7964"/>
    <w:rsid w:val="008E35AA"/>
    <w:rsid w:val="008F272F"/>
    <w:rsid w:val="00900BE3"/>
    <w:rsid w:val="00905B14"/>
    <w:rsid w:val="00907373"/>
    <w:rsid w:val="00913B7E"/>
    <w:rsid w:val="00917C44"/>
    <w:rsid w:val="00924053"/>
    <w:rsid w:val="00952527"/>
    <w:rsid w:val="00975343"/>
    <w:rsid w:val="00993E55"/>
    <w:rsid w:val="009B4244"/>
    <w:rsid w:val="009B6490"/>
    <w:rsid w:val="00A0233F"/>
    <w:rsid w:val="00A10F98"/>
    <w:rsid w:val="00A22493"/>
    <w:rsid w:val="00A27870"/>
    <w:rsid w:val="00A36E81"/>
    <w:rsid w:val="00A41000"/>
    <w:rsid w:val="00A43077"/>
    <w:rsid w:val="00A46049"/>
    <w:rsid w:val="00A6793A"/>
    <w:rsid w:val="00A67A7F"/>
    <w:rsid w:val="00A94450"/>
    <w:rsid w:val="00A94AF6"/>
    <w:rsid w:val="00A952A4"/>
    <w:rsid w:val="00AA2856"/>
    <w:rsid w:val="00AB4F4C"/>
    <w:rsid w:val="00AB5CE4"/>
    <w:rsid w:val="00B004A8"/>
    <w:rsid w:val="00B052AB"/>
    <w:rsid w:val="00B053A2"/>
    <w:rsid w:val="00B36364"/>
    <w:rsid w:val="00B52131"/>
    <w:rsid w:val="00B57505"/>
    <w:rsid w:val="00B859FC"/>
    <w:rsid w:val="00B9059B"/>
    <w:rsid w:val="00B91ACE"/>
    <w:rsid w:val="00BA34E6"/>
    <w:rsid w:val="00BF3E1D"/>
    <w:rsid w:val="00BF3F1F"/>
    <w:rsid w:val="00C049DB"/>
    <w:rsid w:val="00C2175D"/>
    <w:rsid w:val="00C23D90"/>
    <w:rsid w:val="00C25F37"/>
    <w:rsid w:val="00C366C9"/>
    <w:rsid w:val="00CA3B04"/>
    <w:rsid w:val="00CA4ACE"/>
    <w:rsid w:val="00CA7EFA"/>
    <w:rsid w:val="00CB2C23"/>
    <w:rsid w:val="00CB409B"/>
    <w:rsid w:val="00CB7D12"/>
    <w:rsid w:val="00CC60AC"/>
    <w:rsid w:val="00CD152B"/>
    <w:rsid w:val="00CD2E0F"/>
    <w:rsid w:val="00CD38A8"/>
    <w:rsid w:val="00CD4B20"/>
    <w:rsid w:val="00CD769D"/>
    <w:rsid w:val="00CF079F"/>
    <w:rsid w:val="00D001EB"/>
    <w:rsid w:val="00D0470F"/>
    <w:rsid w:val="00D04D98"/>
    <w:rsid w:val="00D04E93"/>
    <w:rsid w:val="00D05FC5"/>
    <w:rsid w:val="00D210BC"/>
    <w:rsid w:val="00D2411E"/>
    <w:rsid w:val="00D26569"/>
    <w:rsid w:val="00D36C77"/>
    <w:rsid w:val="00D428B5"/>
    <w:rsid w:val="00D45394"/>
    <w:rsid w:val="00D614BF"/>
    <w:rsid w:val="00D73D27"/>
    <w:rsid w:val="00D77728"/>
    <w:rsid w:val="00D861EB"/>
    <w:rsid w:val="00DA4969"/>
    <w:rsid w:val="00DC1722"/>
    <w:rsid w:val="00DC456F"/>
    <w:rsid w:val="00DD00E1"/>
    <w:rsid w:val="00DD1A58"/>
    <w:rsid w:val="00DD5E1F"/>
    <w:rsid w:val="00DE5706"/>
    <w:rsid w:val="00DF1D96"/>
    <w:rsid w:val="00DF1EFA"/>
    <w:rsid w:val="00E0030E"/>
    <w:rsid w:val="00E0122E"/>
    <w:rsid w:val="00E10DBF"/>
    <w:rsid w:val="00E11F17"/>
    <w:rsid w:val="00E14E70"/>
    <w:rsid w:val="00E26B7B"/>
    <w:rsid w:val="00E33C09"/>
    <w:rsid w:val="00E43756"/>
    <w:rsid w:val="00E7149F"/>
    <w:rsid w:val="00E756B8"/>
    <w:rsid w:val="00E76F11"/>
    <w:rsid w:val="00EA022F"/>
    <w:rsid w:val="00EA132A"/>
    <w:rsid w:val="00EB74CC"/>
    <w:rsid w:val="00ED04DA"/>
    <w:rsid w:val="00ED2859"/>
    <w:rsid w:val="00EE474B"/>
    <w:rsid w:val="00F14784"/>
    <w:rsid w:val="00F1714B"/>
    <w:rsid w:val="00F30CBD"/>
    <w:rsid w:val="00F357B2"/>
    <w:rsid w:val="00F42A60"/>
    <w:rsid w:val="00F454F8"/>
    <w:rsid w:val="00F4696B"/>
    <w:rsid w:val="00F57D66"/>
    <w:rsid w:val="00F77E3F"/>
    <w:rsid w:val="00F9139B"/>
    <w:rsid w:val="00FB5EA7"/>
    <w:rsid w:val="00FB69E1"/>
    <w:rsid w:val="00FD7181"/>
    <w:rsid w:val="00FE4A34"/>
    <w:rsid w:val="00FE6426"/>
    <w:rsid w:val="00FF18BC"/>
    <w:rsid w:val="00FF1C65"/>
    <w:rsid w:val="00FF56AC"/>
    <w:rsid w:val="00FF619D"/>
    <w:rsid w:val="00FF6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en-US" w:bidi="ar-SA"/>
      </w:rPr>
    </w:rPrDefault>
    <w:pPrDefault/>
  </w:docDefaults>
  <w:latentStyles w:defLockedState="0" w:defUIPriority="0" w:defSemiHidden="1"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39"/>
    <w:lsdException w:name="caption" w:unhideWhenUsed="1" w:qFormat="1"/>
    <w:lsdException w:name="Title" w:qFormat="1"/>
    <w:lsdException w:name="Subtitle" w:qFormat="1"/>
    <w:lsdException w:name="Strong" w:qFormat="1"/>
    <w:lsdException w:name="Emphasis" w:qFormat="1"/>
    <w:lsdException w:name="Normal (Web)" w:uiPriority="9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semiHidden/>
    <w:pPr>
      <w:spacing w:before="120" w:after="240" w:line="288" w:lineRule="auto"/>
    </w:pPr>
    <w:rPr>
      <w:sz w:val="18"/>
      <w:szCs w:val="18"/>
      <w:lang w:val="en-AU" w:eastAsia="en-AU"/>
    </w:rPr>
  </w:style>
  <w:style w:type="paragraph" w:styleId="Heading1">
    <w:name w:val="heading 1"/>
    <w:basedOn w:val="Normal"/>
    <w:next w:val="Normal"/>
    <w:semiHidden/>
    <w:pPr>
      <w:keepNext/>
      <w:spacing w:before="240" w:after="60"/>
      <w:outlineLvl w:val="0"/>
    </w:pPr>
    <w:rPr>
      <w:b/>
      <w:bCs/>
      <w:kern w:val="32"/>
      <w:sz w:val="32"/>
      <w:szCs w:val="32"/>
    </w:rPr>
  </w:style>
  <w:style w:type="paragraph" w:styleId="Heading2">
    <w:name w:val="heading 2"/>
    <w:basedOn w:val="Normal"/>
    <w:next w:val="Normal"/>
    <w:semiHidden/>
    <w:pPr>
      <w:keepNext/>
      <w:spacing w:before="240" w:after="60"/>
      <w:outlineLvl w:val="1"/>
    </w:pPr>
    <w:rPr>
      <w:b/>
      <w:bCs/>
      <w:i/>
      <w:iCs/>
      <w:sz w:val="28"/>
      <w:szCs w:val="28"/>
    </w:rPr>
  </w:style>
  <w:style w:type="paragraph" w:styleId="Heading3">
    <w:name w:val="heading 3"/>
    <w:basedOn w:val="Normal"/>
    <w:next w:val="Normal"/>
    <w:semiHidden/>
    <w:pPr>
      <w:keepNext/>
      <w:spacing w:before="240" w:after="60"/>
      <w:outlineLvl w:val="2"/>
    </w:pPr>
    <w:rPr>
      <w:b/>
      <w:bCs/>
      <w:sz w:val="26"/>
      <w:szCs w:val="26"/>
    </w:rPr>
  </w:style>
  <w:style w:type="paragraph" w:styleId="Heading4">
    <w:name w:val="heading 4"/>
    <w:basedOn w:val="Normal"/>
    <w:next w:val="Normal"/>
    <w:semiHidden/>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semiHidden/>
    <w:pPr>
      <w:spacing w:before="240" w:after="60"/>
      <w:outlineLvl w:val="4"/>
    </w:pPr>
    <w:rPr>
      <w:b/>
      <w:bCs/>
      <w:i/>
      <w:iCs/>
      <w:sz w:val="26"/>
      <w:szCs w:val="26"/>
    </w:rPr>
  </w:style>
  <w:style w:type="paragraph" w:styleId="Heading6">
    <w:name w:val="heading 6"/>
    <w:basedOn w:val="Normal"/>
    <w:next w:val="Normal"/>
    <w:semiHidden/>
    <w:pPr>
      <w:spacing w:before="240" w:after="60"/>
      <w:outlineLvl w:val="5"/>
    </w:pPr>
    <w:rPr>
      <w:rFonts w:ascii="Times New Roman" w:hAnsi="Times New Roman" w:cs="Times New Roman"/>
      <w:b/>
      <w:bCs/>
      <w:sz w:val="22"/>
      <w:szCs w:val="22"/>
    </w:rPr>
  </w:style>
  <w:style w:type="paragraph" w:styleId="Heading7">
    <w:name w:val="heading 7"/>
    <w:basedOn w:val="Normal"/>
    <w:next w:val="Normal"/>
    <w:semiHidden/>
    <w:pPr>
      <w:spacing w:before="240" w:after="60"/>
      <w:outlineLvl w:val="6"/>
    </w:pPr>
    <w:rPr>
      <w:rFonts w:ascii="Times New Roman" w:hAnsi="Times New Roman" w:cs="Times New Roman"/>
      <w:sz w:val="24"/>
      <w:szCs w:val="24"/>
    </w:rPr>
  </w:style>
  <w:style w:type="paragraph" w:styleId="Heading8">
    <w:name w:val="heading 8"/>
    <w:basedOn w:val="Normal"/>
    <w:next w:val="Normal"/>
    <w:semiHidden/>
    <w:pPr>
      <w:spacing w:before="240" w:after="60"/>
      <w:outlineLvl w:val="7"/>
    </w:pPr>
    <w:rPr>
      <w:rFonts w:ascii="Times New Roman" w:hAnsi="Times New Roman" w:cs="Times New Roman"/>
      <w:i/>
      <w:iCs/>
      <w:sz w:val="24"/>
      <w:szCs w:val="24"/>
    </w:rPr>
  </w:style>
  <w:style w:type="paragraph" w:styleId="Heading9">
    <w:name w:val="heading 9"/>
    <w:basedOn w:val="Normal"/>
    <w:next w:val="Normal"/>
    <w:semiHidden/>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customStyle="1" w:styleId="BidFooter">
    <w:name w:val="Bid Footer"/>
    <w:semiHidden/>
    <w:pPr>
      <w:spacing w:before="240" w:line="288" w:lineRule="auto"/>
    </w:pPr>
    <w:rPr>
      <w:bCs/>
      <w:color w:val="808080"/>
      <w:sz w:val="14"/>
      <w:szCs w:val="40"/>
      <w:lang w:val="en-AU" w:eastAsia="en-AU"/>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Header">
    <w:name w:val="header"/>
    <w:basedOn w:val="Normal"/>
    <w:link w:val="HeaderChar"/>
    <w:uiPriority w:val="39"/>
    <w:semiHidden/>
    <w:pPr>
      <w:tabs>
        <w:tab w:val="center" w:pos="4153"/>
        <w:tab w:val="right" w:pos="8306"/>
      </w:tabs>
      <w:spacing w:before="0" w:after="0" w:line="240" w:lineRule="auto"/>
    </w:pPr>
  </w:style>
  <w:style w:type="paragraph" w:customStyle="1" w:styleId="greybox">
    <w:name w:val="greybox"/>
    <w:basedOn w:val="Normal"/>
    <w:semiHidden/>
    <w:pPr>
      <w:shd w:val="solid" w:color="EEBD31" w:fill="auto"/>
      <w:tabs>
        <w:tab w:val="left" w:pos="567"/>
      </w:tabs>
      <w:spacing w:before="240"/>
      <w:ind w:left="113"/>
    </w:pPr>
    <w:rPr>
      <w:rFonts w:cs="Times New Roman"/>
      <w:color w:val="002947"/>
      <w:sz w:val="24"/>
      <w:szCs w:val="20"/>
      <w:lang w:eastAsia="en-US"/>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semiHidden/>
    <w:pPr>
      <w:framePr w:w="7920" w:h="1980" w:hRule="exact" w:hSpace="180" w:wrap="auto" w:hAnchor="page" w:xAlign="center" w:yAlign="bottom"/>
      <w:ind w:left="2880"/>
    </w:pPr>
    <w:rPr>
      <w:sz w:val="24"/>
      <w:szCs w:val="24"/>
    </w:rPr>
  </w:style>
  <w:style w:type="paragraph" w:styleId="EnvelopeReturn">
    <w:name w:val="envelope return"/>
    <w:basedOn w:val="Normal"/>
    <w:semiHidden/>
    <w:rPr>
      <w:sz w:val="20"/>
      <w:szCs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tabs>
        <w:tab w:val="center" w:pos="4153"/>
        <w:tab w:val="right" w:pos="8306"/>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customStyle="1" w:styleId="LogoSmall">
    <w:name w:val="LogoSmall"/>
    <w:basedOn w:val="Normal"/>
    <w:uiPriority w:val="99"/>
    <w:semiHidden/>
    <w:pPr>
      <w:spacing w:before="80" w:after="100" w:afterAutospacing="1"/>
    </w:pPr>
  </w:style>
  <w:style w:type="character" w:customStyle="1" w:styleId="MacroText1">
    <w:name w:val="Macro Text1"/>
    <w:basedOn w:val="Hyperlink"/>
    <w:semiHidden/>
    <w:rPr>
      <w:rFonts w:ascii="Arial Bold" w:hAnsi="Arial Bold"/>
      <w:dstrike w:val="0"/>
      <w:color w:val="FFFFFF"/>
      <w:sz w:val="24"/>
      <w:szCs w:val="18"/>
      <w:u w:val="none" w:color="002947"/>
      <w:vertAlign w:val="baselin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character" w:customStyle="1" w:styleId="ProfileBodyCharChar">
    <w:name w:val="Profile Body Char Char"/>
    <w:basedOn w:val="DefaultParagraphFont"/>
    <w:link w:val="ProfileBody"/>
    <w:uiPriority w:val="2"/>
    <w:locked/>
    <w:rPr>
      <w:sz w:val="18"/>
      <w:lang w:val="en-AU" w:eastAsia="en-AU"/>
    </w:rPr>
  </w:style>
  <w:style w:type="paragraph" w:customStyle="1" w:styleId="ProfileBody">
    <w:name w:val="Profile Body"/>
    <w:basedOn w:val="Normal"/>
    <w:link w:val="ProfileBodyCharChar"/>
    <w:uiPriority w:val="2"/>
    <w:qFormat/>
    <w:pPr>
      <w:spacing w:before="0" w:after="120" w:line="264" w:lineRule="auto"/>
    </w:pPr>
    <w:rPr>
      <w:szCs w:val="20"/>
    </w:rPr>
  </w:style>
  <w:style w:type="paragraph" w:customStyle="1" w:styleId="ProfileBulletIndent">
    <w:name w:val="Profile Bullet Indent"/>
    <w:basedOn w:val="Normal"/>
    <w:uiPriority w:val="4"/>
    <w:qFormat/>
    <w:pPr>
      <w:numPr>
        <w:numId w:val="1"/>
      </w:numPr>
      <w:spacing w:before="60" w:after="60" w:line="264" w:lineRule="auto"/>
    </w:pPr>
  </w:style>
  <w:style w:type="character" w:customStyle="1" w:styleId="ProfileBulletCharChar">
    <w:name w:val="Profile Bullet Char Char"/>
    <w:basedOn w:val="DefaultParagraphFont"/>
    <w:link w:val="ProfileBullet"/>
    <w:uiPriority w:val="3"/>
    <w:locked/>
    <w:rPr>
      <w:sz w:val="18"/>
      <w:szCs w:val="18"/>
      <w:lang w:val="en-AU" w:eastAsia="en-AU"/>
    </w:rPr>
  </w:style>
  <w:style w:type="paragraph" w:customStyle="1" w:styleId="ProfileBullet">
    <w:name w:val="Profile Bullet"/>
    <w:basedOn w:val="Normal"/>
    <w:link w:val="ProfileBulletCharChar"/>
    <w:uiPriority w:val="3"/>
    <w:qFormat/>
    <w:pPr>
      <w:numPr>
        <w:numId w:val="2"/>
      </w:numPr>
      <w:tabs>
        <w:tab w:val="clear" w:pos="1487"/>
        <w:tab w:val="num" w:pos="352"/>
      </w:tabs>
      <w:spacing w:before="60" w:after="60" w:line="264" w:lineRule="auto"/>
      <w:ind w:left="352"/>
    </w:pPr>
  </w:style>
  <w:style w:type="paragraph" w:customStyle="1" w:styleId="ProfileEmail">
    <w:name w:val="Profile Email"/>
    <w:basedOn w:val="Normal"/>
    <w:link w:val="ProfileEmailChar"/>
    <w:pPr>
      <w:spacing w:before="0" w:after="0" w:line="240" w:lineRule="auto"/>
    </w:pPr>
    <w:rPr>
      <w:color w:val="00324B" w:themeColor="accent1"/>
    </w:rPr>
  </w:style>
  <w:style w:type="character" w:customStyle="1" w:styleId="ProfileEmailChar">
    <w:name w:val="Profile Email Char"/>
    <w:basedOn w:val="DefaultParagraphFont"/>
    <w:link w:val="ProfileEmail"/>
    <w:rPr>
      <w:color w:val="00324B" w:themeColor="accent1"/>
      <w:sz w:val="18"/>
      <w:szCs w:val="18"/>
      <w:lang w:val="en-AU" w:eastAsia="en-AU"/>
    </w:rPr>
  </w:style>
  <w:style w:type="paragraph" w:customStyle="1" w:styleId="ProfileFooterID">
    <w:name w:val="Profile Footer ID"/>
    <w:basedOn w:val="BidFooter"/>
    <w:pPr>
      <w:spacing w:before="0"/>
    </w:pPr>
    <w:rPr>
      <w:color w:val="778189"/>
    </w:rPr>
  </w:style>
  <w:style w:type="paragraph" w:customStyle="1" w:styleId="PracticeGroupLocation">
    <w:name w:val="Practice Group Location"/>
    <w:basedOn w:val="Normal"/>
    <w:pPr>
      <w:spacing w:before="60" w:after="60" w:line="240" w:lineRule="auto"/>
    </w:pPr>
    <w:rPr>
      <w:b/>
      <w:color w:val="00324B" w:themeColor="accent1"/>
    </w:rPr>
  </w:style>
  <w:style w:type="paragraph" w:customStyle="1" w:styleId="ProfileHeading">
    <w:name w:val="Profile Heading"/>
    <w:basedOn w:val="Heading3"/>
    <w:next w:val="ProfileBody"/>
    <w:qFormat/>
    <w:pPr>
      <w:spacing w:after="0"/>
      <w:contextualSpacing/>
    </w:pPr>
    <w:rPr>
      <w:rFonts w:ascii="Arial Bold" w:hAnsi="Arial Bold"/>
      <w:color w:val="00324B" w:themeColor="accent1"/>
      <w:sz w:val="20"/>
      <w:szCs w:val="18"/>
    </w:rPr>
  </w:style>
  <w:style w:type="paragraph" w:customStyle="1" w:styleId="ProfileName">
    <w:name w:val="Profile Name"/>
    <w:basedOn w:val="Normal"/>
    <w:link w:val="ProfileNameCharChar"/>
    <w:pPr>
      <w:spacing w:after="0" w:line="240" w:lineRule="auto"/>
    </w:pPr>
    <w:rPr>
      <w:b/>
      <w:color w:val="00324B" w:themeColor="accent1"/>
      <w:sz w:val="24"/>
      <w:szCs w:val="24"/>
    </w:rPr>
  </w:style>
  <w:style w:type="character" w:customStyle="1" w:styleId="ProfileNameCharChar">
    <w:name w:val="Profile Name Char Char"/>
    <w:basedOn w:val="DefaultParagraphFont"/>
    <w:link w:val="ProfileName"/>
    <w:rPr>
      <w:b/>
      <w:color w:val="00324B" w:themeColor="accent1"/>
      <w:sz w:val="24"/>
      <w:szCs w:val="24"/>
      <w:lang w:val="en-AU" w:eastAsia="en-AU"/>
    </w:rPr>
  </w:style>
  <w:style w:type="paragraph" w:customStyle="1" w:styleId="ProfileNumber">
    <w:name w:val="Profile Number"/>
    <w:basedOn w:val="Normal"/>
    <w:pPr>
      <w:spacing w:before="0" w:after="20" w:line="240" w:lineRule="auto"/>
    </w:pPr>
    <w:rPr>
      <w:color w:val="00324B" w:themeColor="accent1"/>
    </w:rPr>
  </w:style>
  <w:style w:type="paragraph" w:customStyle="1" w:styleId="ProfilePosition">
    <w:name w:val="Profile Position"/>
    <w:basedOn w:val="Normal"/>
    <w:link w:val="ProfilePositionCharChar"/>
    <w:pPr>
      <w:spacing w:after="120" w:line="240" w:lineRule="auto"/>
    </w:pPr>
    <w:rPr>
      <w:color w:val="00324B" w:themeColor="accent1"/>
      <w:sz w:val="24"/>
      <w:szCs w:val="24"/>
    </w:rPr>
  </w:style>
  <w:style w:type="character" w:customStyle="1" w:styleId="ProfilePositionCharChar">
    <w:name w:val="Profile Position Char Char"/>
    <w:basedOn w:val="DefaultParagraphFont"/>
    <w:link w:val="ProfilePosition"/>
    <w:rPr>
      <w:color w:val="00324B" w:themeColor="accent1"/>
      <w:sz w:val="24"/>
      <w:szCs w:val="24"/>
      <w:lang w:val="en-AU" w:eastAsia="en-AU"/>
    </w:rPr>
  </w:style>
  <w:style w:type="paragraph" w:customStyle="1" w:styleId="Profilesubheading">
    <w:name w:val="Profile subheading"/>
    <w:basedOn w:val="Heading4"/>
    <w:next w:val="ProfileBody"/>
    <w:uiPriority w:val="1"/>
    <w:qFormat/>
    <w:pPr>
      <w:spacing w:before="120" w:line="264" w:lineRule="auto"/>
      <w:contextualSpacing/>
    </w:pPr>
    <w:rPr>
      <w:rFonts w:ascii="Arial Bold" w:hAnsi="Arial Bold" w:cs="Arial"/>
      <w:color w:val="00324B" w:themeColor="accent1"/>
      <w:sz w:val="18"/>
      <w:szCs w:val="18"/>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sz w:val="24"/>
      <w:szCs w:val="24"/>
    </w:rPr>
  </w:style>
  <w:style w:type="table" w:styleId="Table3Deffects1">
    <w:name w:val="Table 3D effects 1"/>
    <w:basedOn w:val="TableNormal"/>
    <w:semiHidden/>
    <w:pPr>
      <w:spacing w:before="120" w:after="240" w:line="288"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240" w:line="288"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240" w:line="288"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240" w:line="288"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240" w:line="288"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240" w:line="288"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240" w:line="288"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before="120" w:after="240" w:line="288"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before="120" w:after="240" w:line="288"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240" w:line="288"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240" w:line="288"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240" w:line="288"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240" w:line="288"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240" w:line="288"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before="120" w:after="240" w:line="288"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before="120" w:after="240" w:line="288"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240" w:line="288"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Freehills">
    <w:name w:val="Table Freehills"/>
    <w:basedOn w:val="TableNormal"/>
    <w:tblPr>
      <w:tblInd w:w="0" w:type="dxa"/>
      <w:tblBorders>
        <w:bottom w:val="single" w:sz="4" w:space="0" w:color="4D4D4D"/>
        <w:insideH w:val="single" w:sz="4" w:space="0" w:color="4D4D4D"/>
      </w:tblBorders>
      <w:tblCellMar>
        <w:top w:w="284" w:type="dxa"/>
        <w:left w:w="0" w:type="dxa"/>
        <w:bottom w:w="113" w:type="dxa"/>
        <w:right w:w="284" w:type="dxa"/>
      </w:tblCellMar>
    </w:tblPr>
  </w:style>
  <w:style w:type="table" w:styleId="TableGrid">
    <w:name w:val="Table Grid"/>
    <w:basedOn w:val="TableNormal"/>
    <w:semiHidden/>
    <w:pPr>
      <w:spacing w:after="120"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pPr>
      <w:spacing w:before="120" w:after="240" w:line="288"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240" w:line="288"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240" w:line="288"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240" w:line="288"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240" w:line="288"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before="120" w:after="240" w:line="288"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before="120" w:after="240" w:line="288"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before="120" w:after="240" w:line="288"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240" w:line="288"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240" w:line="288"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240" w:line="288"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240" w:line="288"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240" w:line="288"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240" w:line="288"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240" w:line="288"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240" w:line="288"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240" w:line="288"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240" w:line="288"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240" w:line="288"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240" w:line="288"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240" w:line="288"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240" w:line="288"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tyle">
    <w:name w:val="Table Style"/>
    <w:basedOn w:val="TableNormal"/>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trPr>
      <w:cantSplit/>
    </w:trPr>
  </w:style>
  <w:style w:type="table" w:styleId="TableTheme">
    <w:name w:val="Table Theme"/>
    <w:basedOn w:val="TableNormal"/>
    <w:semiHidden/>
    <w:pPr>
      <w:spacing w:before="120" w:after="240" w:line="288"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240" w:line="288"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before="120" w:after="240" w:line="288"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before="120" w:after="240" w:line="288"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pPr>
      <w:spacing w:before="240" w:after="60"/>
      <w:jc w:val="center"/>
      <w:outlineLvl w:val="0"/>
    </w:pPr>
    <w:rPr>
      <w:b/>
      <w:bCs/>
      <w:kern w:val="28"/>
      <w:sz w:val="32"/>
      <w:szCs w:val="32"/>
    </w:rPr>
  </w:style>
  <w:style w:type="paragraph" w:styleId="BalloonText">
    <w:name w:val="Balloon Text"/>
    <w:basedOn w:val="Normal"/>
    <w:link w:val="BalloonTextChar"/>
    <w:semiHidden/>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AU" w:eastAsia="en-AU"/>
    </w:rPr>
  </w:style>
  <w:style w:type="character" w:styleId="PlaceholderText">
    <w:name w:val="Placeholder Text"/>
    <w:basedOn w:val="DefaultParagraphFont"/>
    <w:uiPriority w:val="99"/>
    <w:semiHidden/>
    <w:rPr>
      <w:color w:val="808080"/>
    </w:rPr>
  </w:style>
  <w:style w:type="paragraph" w:customStyle="1" w:styleId="Header2">
    <w:name w:val="Header 2"/>
    <w:basedOn w:val="Header"/>
    <w:semiHidden/>
    <w:locked/>
    <w:pPr>
      <w:tabs>
        <w:tab w:val="clear" w:pos="4153"/>
        <w:tab w:val="clear" w:pos="8306"/>
      </w:tabs>
      <w:jc w:val="right"/>
    </w:pPr>
    <w:rPr>
      <w:rFonts w:cs="Times New Roman"/>
      <w:szCs w:val="20"/>
    </w:rPr>
  </w:style>
  <w:style w:type="paragraph" w:customStyle="1" w:styleId="HeaderFooterText">
    <w:name w:val="Header Footer Text"/>
    <w:basedOn w:val="Normal"/>
    <w:semiHidden/>
    <w:pPr>
      <w:spacing w:before="0" w:after="0" w:line="240" w:lineRule="auto"/>
      <w:ind w:left="851"/>
    </w:pPr>
    <w:rPr>
      <w:rFonts w:cs="Times New Roman"/>
      <w:sz w:val="2"/>
      <w:szCs w:val="20"/>
    </w:rPr>
  </w:style>
  <w:style w:type="paragraph" w:customStyle="1" w:styleId="Bidfooter0">
    <w:name w:val="Bid footer"/>
    <w:link w:val="BidfooterChar"/>
    <w:uiPriority w:val="19"/>
    <w:semiHidden/>
    <w:rPr>
      <w:bCs/>
      <w:color w:val="778189"/>
      <w:sz w:val="14"/>
      <w:szCs w:val="40"/>
      <w:lang w:val="en-AU" w:eastAsia="en-AU"/>
    </w:rPr>
  </w:style>
  <w:style w:type="character" w:customStyle="1" w:styleId="BidfooterChar">
    <w:name w:val="Bid footer Char"/>
    <w:basedOn w:val="DefaultParagraphFont"/>
    <w:link w:val="Bidfooter0"/>
    <w:uiPriority w:val="19"/>
    <w:semiHidden/>
    <w:locked/>
    <w:rPr>
      <w:bCs/>
      <w:color w:val="778189"/>
      <w:sz w:val="14"/>
      <w:szCs w:val="40"/>
      <w:lang w:val="en-AU" w:eastAsia="en-AU"/>
    </w:rPr>
  </w:style>
  <w:style w:type="character" w:customStyle="1" w:styleId="HeaderChar">
    <w:name w:val="Header Char"/>
    <w:basedOn w:val="DefaultParagraphFont"/>
    <w:link w:val="Header"/>
    <w:uiPriority w:val="39"/>
    <w:semiHidden/>
    <w:rsid w:val="000A674C"/>
    <w:rPr>
      <w:sz w:val="18"/>
      <w:szCs w:val="18"/>
      <w:lang w:val="en-AU" w:eastAsia="en-AU"/>
    </w:rPr>
  </w:style>
  <w:style w:type="paragraph" w:styleId="ListParagraph">
    <w:name w:val="List Paragraph"/>
    <w:basedOn w:val="Normal"/>
    <w:uiPriority w:val="34"/>
    <w:semiHidden/>
    <w:qFormat/>
    <w:rsid w:val="00ED04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en-US" w:bidi="ar-SA"/>
      </w:rPr>
    </w:rPrDefault>
    <w:pPrDefault/>
  </w:docDefaults>
  <w:latentStyles w:defLockedState="0" w:defUIPriority="0" w:defSemiHidden="1"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39"/>
    <w:lsdException w:name="caption" w:unhideWhenUsed="1" w:qFormat="1"/>
    <w:lsdException w:name="Title" w:qFormat="1"/>
    <w:lsdException w:name="Subtitle" w:qFormat="1"/>
    <w:lsdException w:name="Strong" w:qFormat="1"/>
    <w:lsdException w:name="Emphasis" w:qFormat="1"/>
    <w:lsdException w:name="Normal (Web)" w:uiPriority="9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semiHidden/>
    <w:pPr>
      <w:spacing w:before="120" w:after="240" w:line="288" w:lineRule="auto"/>
    </w:pPr>
    <w:rPr>
      <w:sz w:val="18"/>
      <w:szCs w:val="18"/>
      <w:lang w:val="en-AU" w:eastAsia="en-AU"/>
    </w:rPr>
  </w:style>
  <w:style w:type="paragraph" w:styleId="Heading1">
    <w:name w:val="heading 1"/>
    <w:basedOn w:val="Normal"/>
    <w:next w:val="Normal"/>
    <w:semiHidden/>
    <w:pPr>
      <w:keepNext/>
      <w:spacing w:before="240" w:after="60"/>
      <w:outlineLvl w:val="0"/>
    </w:pPr>
    <w:rPr>
      <w:b/>
      <w:bCs/>
      <w:kern w:val="32"/>
      <w:sz w:val="32"/>
      <w:szCs w:val="32"/>
    </w:rPr>
  </w:style>
  <w:style w:type="paragraph" w:styleId="Heading2">
    <w:name w:val="heading 2"/>
    <w:basedOn w:val="Normal"/>
    <w:next w:val="Normal"/>
    <w:semiHidden/>
    <w:pPr>
      <w:keepNext/>
      <w:spacing w:before="240" w:after="60"/>
      <w:outlineLvl w:val="1"/>
    </w:pPr>
    <w:rPr>
      <w:b/>
      <w:bCs/>
      <w:i/>
      <w:iCs/>
      <w:sz w:val="28"/>
      <w:szCs w:val="28"/>
    </w:rPr>
  </w:style>
  <w:style w:type="paragraph" w:styleId="Heading3">
    <w:name w:val="heading 3"/>
    <w:basedOn w:val="Normal"/>
    <w:next w:val="Normal"/>
    <w:semiHidden/>
    <w:pPr>
      <w:keepNext/>
      <w:spacing w:before="240" w:after="60"/>
      <w:outlineLvl w:val="2"/>
    </w:pPr>
    <w:rPr>
      <w:b/>
      <w:bCs/>
      <w:sz w:val="26"/>
      <w:szCs w:val="26"/>
    </w:rPr>
  </w:style>
  <w:style w:type="paragraph" w:styleId="Heading4">
    <w:name w:val="heading 4"/>
    <w:basedOn w:val="Normal"/>
    <w:next w:val="Normal"/>
    <w:semiHidden/>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semiHidden/>
    <w:pPr>
      <w:spacing w:before="240" w:after="60"/>
      <w:outlineLvl w:val="4"/>
    </w:pPr>
    <w:rPr>
      <w:b/>
      <w:bCs/>
      <w:i/>
      <w:iCs/>
      <w:sz w:val="26"/>
      <w:szCs w:val="26"/>
    </w:rPr>
  </w:style>
  <w:style w:type="paragraph" w:styleId="Heading6">
    <w:name w:val="heading 6"/>
    <w:basedOn w:val="Normal"/>
    <w:next w:val="Normal"/>
    <w:semiHidden/>
    <w:pPr>
      <w:spacing w:before="240" w:after="60"/>
      <w:outlineLvl w:val="5"/>
    </w:pPr>
    <w:rPr>
      <w:rFonts w:ascii="Times New Roman" w:hAnsi="Times New Roman" w:cs="Times New Roman"/>
      <w:b/>
      <w:bCs/>
      <w:sz w:val="22"/>
      <w:szCs w:val="22"/>
    </w:rPr>
  </w:style>
  <w:style w:type="paragraph" w:styleId="Heading7">
    <w:name w:val="heading 7"/>
    <w:basedOn w:val="Normal"/>
    <w:next w:val="Normal"/>
    <w:semiHidden/>
    <w:pPr>
      <w:spacing w:before="240" w:after="60"/>
      <w:outlineLvl w:val="6"/>
    </w:pPr>
    <w:rPr>
      <w:rFonts w:ascii="Times New Roman" w:hAnsi="Times New Roman" w:cs="Times New Roman"/>
      <w:sz w:val="24"/>
      <w:szCs w:val="24"/>
    </w:rPr>
  </w:style>
  <w:style w:type="paragraph" w:styleId="Heading8">
    <w:name w:val="heading 8"/>
    <w:basedOn w:val="Normal"/>
    <w:next w:val="Normal"/>
    <w:semiHidden/>
    <w:pPr>
      <w:spacing w:before="240" w:after="60"/>
      <w:outlineLvl w:val="7"/>
    </w:pPr>
    <w:rPr>
      <w:rFonts w:ascii="Times New Roman" w:hAnsi="Times New Roman" w:cs="Times New Roman"/>
      <w:i/>
      <w:iCs/>
      <w:sz w:val="24"/>
      <w:szCs w:val="24"/>
    </w:rPr>
  </w:style>
  <w:style w:type="paragraph" w:styleId="Heading9">
    <w:name w:val="heading 9"/>
    <w:basedOn w:val="Normal"/>
    <w:next w:val="Normal"/>
    <w:semiHidden/>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customStyle="1" w:styleId="BidFooter">
    <w:name w:val="Bid Footer"/>
    <w:semiHidden/>
    <w:pPr>
      <w:spacing w:before="240" w:line="288" w:lineRule="auto"/>
    </w:pPr>
    <w:rPr>
      <w:bCs/>
      <w:color w:val="808080"/>
      <w:sz w:val="14"/>
      <w:szCs w:val="40"/>
      <w:lang w:val="en-AU" w:eastAsia="en-AU"/>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Header">
    <w:name w:val="header"/>
    <w:basedOn w:val="Normal"/>
    <w:link w:val="HeaderChar"/>
    <w:uiPriority w:val="39"/>
    <w:semiHidden/>
    <w:pPr>
      <w:tabs>
        <w:tab w:val="center" w:pos="4153"/>
        <w:tab w:val="right" w:pos="8306"/>
      </w:tabs>
      <w:spacing w:before="0" w:after="0" w:line="240" w:lineRule="auto"/>
    </w:pPr>
  </w:style>
  <w:style w:type="paragraph" w:customStyle="1" w:styleId="greybox">
    <w:name w:val="greybox"/>
    <w:basedOn w:val="Normal"/>
    <w:semiHidden/>
    <w:pPr>
      <w:shd w:val="solid" w:color="EEBD31" w:fill="auto"/>
      <w:tabs>
        <w:tab w:val="left" w:pos="567"/>
      </w:tabs>
      <w:spacing w:before="240"/>
      <w:ind w:left="113"/>
    </w:pPr>
    <w:rPr>
      <w:rFonts w:cs="Times New Roman"/>
      <w:color w:val="002947"/>
      <w:sz w:val="24"/>
      <w:szCs w:val="20"/>
      <w:lang w:eastAsia="en-US"/>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semiHidden/>
    <w:pPr>
      <w:framePr w:w="7920" w:h="1980" w:hRule="exact" w:hSpace="180" w:wrap="auto" w:hAnchor="page" w:xAlign="center" w:yAlign="bottom"/>
      <w:ind w:left="2880"/>
    </w:pPr>
    <w:rPr>
      <w:sz w:val="24"/>
      <w:szCs w:val="24"/>
    </w:rPr>
  </w:style>
  <w:style w:type="paragraph" w:styleId="EnvelopeReturn">
    <w:name w:val="envelope return"/>
    <w:basedOn w:val="Normal"/>
    <w:semiHidden/>
    <w:rPr>
      <w:sz w:val="20"/>
      <w:szCs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tabs>
        <w:tab w:val="center" w:pos="4153"/>
        <w:tab w:val="right" w:pos="8306"/>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customStyle="1" w:styleId="LogoSmall">
    <w:name w:val="LogoSmall"/>
    <w:basedOn w:val="Normal"/>
    <w:uiPriority w:val="99"/>
    <w:semiHidden/>
    <w:pPr>
      <w:spacing w:before="80" w:after="100" w:afterAutospacing="1"/>
    </w:pPr>
  </w:style>
  <w:style w:type="character" w:customStyle="1" w:styleId="MacroText1">
    <w:name w:val="Macro Text1"/>
    <w:basedOn w:val="Hyperlink"/>
    <w:semiHidden/>
    <w:rPr>
      <w:rFonts w:ascii="Arial Bold" w:hAnsi="Arial Bold"/>
      <w:dstrike w:val="0"/>
      <w:color w:val="FFFFFF"/>
      <w:sz w:val="24"/>
      <w:szCs w:val="18"/>
      <w:u w:val="none" w:color="002947"/>
      <w:vertAlign w:val="baselin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character" w:customStyle="1" w:styleId="ProfileBodyCharChar">
    <w:name w:val="Profile Body Char Char"/>
    <w:basedOn w:val="DefaultParagraphFont"/>
    <w:link w:val="ProfileBody"/>
    <w:uiPriority w:val="2"/>
    <w:locked/>
    <w:rPr>
      <w:sz w:val="18"/>
      <w:lang w:val="en-AU" w:eastAsia="en-AU"/>
    </w:rPr>
  </w:style>
  <w:style w:type="paragraph" w:customStyle="1" w:styleId="ProfileBody">
    <w:name w:val="Profile Body"/>
    <w:basedOn w:val="Normal"/>
    <w:link w:val="ProfileBodyCharChar"/>
    <w:uiPriority w:val="2"/>
    <w:qFormat/>
    <w:pPr>
      <w:spacing w:before="0" w:after="120" w:line="264" w:lineRule="auto"/>
    </w:pPr>
    <w:rPr>
      <w:szCs w:val="20"/>
    </w:rPr>
  </w:style>
  <w:style w:type="paragraph" w:customStyle="1" w:styleId="ProfileBulletIndent">
    <w:name w:val="Profile Bullet Indent"/>
    <w:basedOn w:val="Normal"/>
    <w:uiPriority w:val="4"/>
    <w:qFormat/>
    <w:pPr>
      <w:numPr>
        <w:numId w:val="1"/>
      </w:numPr>
      <w:spacing w:before="60" w:after="60" w:line="264" w:lineRule="auto"/>
    </w:pPr>
  </w:style>
  <w:style w:type="character" w:customStyle="1" w:styleId="ProfileBulletCharChar">
    <w:name w:val="Profile Bullet Char Char"/>
    <w:basedOn w:val="DefaultParagraphFont"/>
    <w:link w:val="ProfileBullet"/>
    <w:uiPriority w:val="3"/>
    <w:locked/>
    <w:rPr>
      <w:sz w:val="18"/>
      <w:szCs w:val="18"/>
      <w:lang w:val="en-AU" w:eastAsia="en-AU"/>
    </w:rPr>
  </w:style>
  <w:style w:type="paragraph" w:customStyle="1" w:styleId="ProfileBullet">
    <w:name w:val="Profile Bullet"/>
    <w:basedOn w:val="Normal"/>
    <w:link w:val="ProfileBulletCharChar"/>
    <w:uiPriority w:val="3"/>
    <w:qFormat/>
    <w:pPr>
      <w:numPr>
        <w:numId w:val="2"/>
      </w:numPr>
      <w:tabs>
        <w:tab w:val="clear" w:pos="1487"/>
        <w:tab w:val="num" w:pos="352"/>
      </w:tabs>
      <w:spacing w:before="60" w:after="60" w:line="264" w:lineRule="auto"/>
      <w:ind w:left="352"/>
    </w:pPr>
  </w:style>
  <w:style w:type="paragraph" w:customStyle="1" w:styleId="ProfileEmail">
    <w:name w:val="Profile Email"/>
    <w:basedOn w:val="Normal"/>
    <w:link w:val="ProfileEmailChar"/>
    <w:pPr>
      <w:spacing w:before="0" w:after="0" w:line="240" w:lineRule="auto"/>
    </w:pPr>
    <w:rPr>
      <w:color w:val="00324B" w:themeColor="accent1"/>
    </w:rPr>
  </w:style>
  <w:style w:type="character" w:customStyle="1" w:styleId="ProfileEmailChar">
    <w:name w:val="Profile Email Char"/>
    <w:basedOn w:val="DefaultParagraphFont"/>
    <w:link w:val="ProfileEmail"/>
    <w:rPr>
      <w:color w:val="00324B" w:themeColor="accent1"/>
      <w:sz w:val="18"/>
      <w:szCs w:val="18"/>
      <w:lang w:val="en-AU" w:eastAsia="en-AU"/>
    </w:rPr>
  </w:style>
  <w:style w:type="paragraph" w:customStyle="1" w:styleId="ProfileFooterID">
    <w:name w:val="Profile Footer ID"/>
    <w:basedOn w:val="BidFooter"/>
    <w:pPr>
      <w:spacing w:before="0"/>
    </w:pPr>
    <w:rPr>
      <w:color w:val="778189"/>
    </w:rPr>
  </w:style>
  <w:style w:type="paragraph" w:customStyle="1" w:styleId="PracticeGroupLocation">
    <w:name w:val="Practice Group Location"/>
    <w:basedOn w:val="Normal"/>
    <w:pPr>
      <w:spacing w:before="60" w:after="60" w:line="240" w:lineRule="auto"/>
    </w:pPr>
    <w:rPr>
      <w:b/>
      <w:color w:val="00324B" w:themeColor="accent1"/>
    </w:rPr>
  </w:style>
  <w:style w:type="paragraph" w:customStyle="1" w:styleId="ProfileHeading">
    <w:name w:val="Profile Heading"/>
    <w:basedOn w:val="Heading3"/>
    <w:next w:val="ProfileBody"/>
    <w:qFormat/>
    <w:pPr>
      <w:spacing w:after="0"/>
      <w:contextualSpacing/>
    </w:pPr>
    <w:rPr>
      <w:rFonts w:ascii="Arial Bold" w:hAnsi="Arial Bold"/>
      <w:color w:val="00324B" w:themeColor="accent1"/>
      <w:sz w:val="20"/>
      <w:szCs w:val="18"/>
    </w:rPr>
  </w:style>
  <w:style w:type="paragraph" w:customStyle="1" w:styleId="ProfileName">
    <w:name w:val="Profile Name"/>
    <w:basedOn w:val="Normal"/>
    <w:link w:val="ProfileNameCharChar"/>
    <w:pPr>
      <w:spacing w:after="0" w:line="240" w:lineRule="auto"/>
    </w:pPr>
    <w:rPr>
      <w:b/>
      <w:color w:val="00324B" w:themeColor="accent1"/>
      <w:sz w:val="24"/>
      <w:szCs w:val="24"/>
    </w:rPr>
  </w:style>
  <w:style w:type="character" w:customStyle="1" w:styleId="ProfileNameCharChar">
    <w:name w:val="Profile Name Char Char"/>
    <w:basedOn w:val="DefaultParagraphFont"/>
    <w:link w:val="ProfileName"/>
    <w:rPr>
      <w:b/>
      <w:color w:val="00324B" w:themeColor="accent1"/>
      <w:sz w:val="24"/>
      <w:szCs w:val="24"/>
      <w:lang w:val="en-AU" w:eastAsia="en-AU"/>
    </w:rPr>
  </w:style>
  <w:style w:type="paragraph" w:customStyle="1" w:styleId="ProfileNumber">
    <w:name w:val="Profile Number"/>
    <w:basedOn w:val="Normal"/>
    <w:pPr>
      <w:spacing w:before="0" w:after="20" w:line="240" w:lineRule="auto"/>
    </w:pPr>
    <w:rPr>
      <w:color w:val="00324B" w:themeColor="accent1"/>
    </w:rPr>
  </w:style>
  <w:style w:type="paragraph" w:customStyle="1" w:styleId="ProfilePosition">
    <w:name w:val="Profile Position"/>
    <w:basedOn w:val="Normal"/>
    <w:link w:val="ProfilePositionCharChar"/>
    <w:pPr>
      <w:spacing w:after="120" w:line="240" w:lineRule="auto"/>
    </w:pPr>
    <w:rPr>
      <w:color w:val="00324B" w:themeColor="accent1"/>
      <w:sz w:val="24"/>
      <w:szCs w:val="24"/>
    </w:rPr>
  </w:style>
  <w:style w:type="character" w:customStyle="1" w:styleId="ProfilePositionCharChar">
    <w:name w:val="Profile Position Char Char"/>
    <w:basedOn w:val="DefaultParagraphFont"/>
    <w:link w:val="ProfilePosition"/>
    <w:rPr>
      <w:color w:val="00324B" w:themeColor="accent1"/>
      <w:sz w:val="24"/>
      <w:szCs w:val="24"/>
      <w:lang w:val="en-AU" w:eastAsia="en-AU"/>
    </w:rPr>
  </w:style>
  <w:style w:type="paragraph" w:customStyle="1" w:styleId="Profilesubheading">
    <w:name w:val="Profile subheading"/>
    <w:basedOn w:val="Heading4"/>
    <w:next w:val="ProfileBody"/>
    <w:uiPriority w:val="1"/>
    <w:qFormat/>
    <w:pPr>
      <w:spacing w:before="120" w:line="264" w:lineRule="auto"/>
      <w:contextualSpacing/>
    </w:pPr>
    <w:rPr>
      <w:rFonts w:ascii="Arial Bold" w:hAnsi="Arial Bold" w:cs="Arial"/>
      <w:color w:val="00324B" w:themeColor="accent1"/>
      <w:sz w:val="18"/>
      <w:szCs w:val="18"/>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sz w:val="24"/>
      <w:szCs w:val="24"/>
    </w:rPr>
  </w:style>
  <w:style w:type="table" w:styleId="Table3Deffects1">
    <w:name w:val="Table 3D effects 1"/>
    <w:basedOn w:val="TableNormal"/>
    <w:semiHidden/>
    <w:pPr>
      <w:spacing w:before="120" w:after="240" w:line="288"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before="120" w:after="240" w:line="288"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before="120" w:after="240" w:line="288"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before="120" w:after="240" w:line="288"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before="120" w:after="240" w:line="288"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before="120" w:after="240" w:line="288"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before="120" w:after="240" w:line="288"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before="120" w:after="240" w:line="288"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before="120" w:after="240" w:line="288"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before="120" w:after="240" w:line="288"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before="120" w:after="240" w:line="288"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before="120" w:after="240" w:line="288"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before="120" w:after="240" w:line="288"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before="120" w:after="240" w:line="288"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before="120" w:after="240" w:line="288"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before="120" w:after="240" w:line="288"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before="120" w:after="240" w:line="288"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Freehills">
    <w:name w:val="Table Freehills"/>
    <w:basedOn w:val="TableNormal"/>
    <w:tblPr>
      <w:tblInd w:w="0" w:type="dxa"/>
      <w:tblBorders>
        <w:bottom w:val="single" w:sz="4" w:space="0" w:color="4D4D4D"/>
        <w:insideH w:val="single" w:sz="4" w:space="0" w:color="4D4D4D"/>
      </w:tblBorders>
      <w:tblCellMar>
        <w:top w:w="284" w:type="dxa"/>
        <w:left w:w="0" w:type="dxa"/>
        <w:bottom w:w="113" w:type="dxa"/>
        <w:right w:w="284" w:type="dxa"/>
      </w:tblCellMar>
    </w:tblPr>
  </w:style>
  <w:style w:type="table" w:styleId="TableGrid">
    <w:name w:val="Table Grid"/>
    <w:basedOn w:val="TableNormal"/>
    <w:semiHidden/>
    <w:pPr>
      <w:spacing w:after="120"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pPr>
      <w:spacing w:before="120" w:after="240" w:line="288"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before="120" w:after="240" w:line="288"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before="120" w:after="240" w:line="288"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before="120" w:after="240" w:line="288"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before="120" w:after="240" w:line="288"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before="120" w:after="240" w:line="288"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before="120" w:after="240" w:line="288"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before="120" w:after="240" w:line="288"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before="120" w:after="240" w:line="288"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before="120" w:after="240" w:line="288"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before="120" w:after="240" w:line="288"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before="120" w:after="240" w:line="288"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before="120" w:after="240" w:line="288"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before="120" w:after="240" w:line="288"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before="120" w:after="240" w:line="288"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before="120" w:after="240" w:line="288"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before="120" w:after="240" w:line="288"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before="120" w:after="240" w:line="288"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before="120" w:after="240" w:line="288"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before="120" w:after="240" w:line="288"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before="120" w:after="240" w:line="288"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before="120" w:after="240" w:line="288"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tyle">
    <w:name w:val="Table Style"/>
    <w:basedOn w:val="TableNormal"/>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trPr>
      <w:cantSplit/>
    </w:trPr>
  </w:style>
  <w:style w:type="table" w:styleId="TableTheme">
    <w:name w:val="Table Theme"/>
    <w:basedOn w:val="TableNormal"/>
    <w:semiHidden/>
    <w:pPr>
      <w:spacing w:before="120" w:after="240" w:line="288"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before="120" w:after="240" w:line="288"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before="120" w:after="240" w:line="288"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before="120" w:after="240" w:line="288"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pPr>
      <w:spacing w:before="240" w:after="60"/>
      <w:jc w:val="center"/>
      <w:outlineLvl w:val="0"/>
    </w:pPr>
    <w:rPr>
      <w:b/>
      <w:bCs/>
      <w:kern w:val="28"/>
      <w:sz w:val="32"/>
      <w:szCs w:val="32"/>
    </w:rPr>
  </w:style>
  <w:style w:type="paragraph" w:styleId="BalloonText">
    <w:name w:val="Balloon Text"/>
    <w:basedOn w:val="Normal"/>
    <w:link w:val="BalloonTextChar"/>
    <w:semiHidden/>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AU" w:eastAsia="en-AU"/>
    </w:rPr>
  </w:style>
  <w:style w:type="character" w:styleId="PlaceholderText">
    <w:name w:val="Placeholder Text"/>
    <w:basedOn w:val="DefaultParagraphFont"/>
    <w:uiPriority w:val="99"/>
    <w:semiHidden/>
    <w:rPr>
      <w:color w:val="808080"/>
    </w:rPr>
  </w:style>
  <w:style w:type="paragraph" w:customStyle="1" w:styleId="Header2">
    <w:name w:val="Header 2"/>
    <w:basedOn w:val="Header"/>
    <w:semiHidden/>
    <w:locked/>
    <w:pPr>
      <w:tabs>
        <w:tab w:val="clear" w:pos="4153"/>
        <w:tab w:val="clear" w:pos="8306"/>
      </w:tabs>
      <w:jc w:val="right"/>
    </w:pPr>
    <w:rPr>
      <w:rFonts w:cs="Times New Roman"/>
      <w:szCs w:val="20"/>
    </w:rPr>
  </w:style>
  <w:style w:type="paragraph" w:customStyle="1" w:styleId="HeaderFooterText">
    <w:name w:val="Header Footer Text"/>
    <w:basedOn w:val="Normal"/>
    <w:semiHidden/>
    <w:pPr>
      <w:spacing w:before="0" w:after="0" w:line="240" w:lineRule="auto"/>
      <w:ind w:left="851"/>
    </w:pPr>
    <w:rPr>
      <w:rFonts w:cs="Times New Roman"/>
      <w:sz w:val="2"/>
      <w:szCs w:val="20"/>
    </w:rPr>
  </w:style>
  <w:style w:type="paragraph" w:customStyle="1" w:styleId="Bidfooter0">
    <w:name w:val="Bid footer"/>
    <w:link w:val="BidfooterChar"/>
    <w:uiPriority w:val="19"/>
    <w:semiHidden/>
    <w:rPr>
      <w:bCs/>
      <w:color w:val="778189"/>
      <w:sz w:val="14"/>
      <w:szCs w:val="40"/>
      <w:lang w:val="en-AU" w:eastAsia="en-AU"/>
    </w:rPr>
  </w:style>
  <w:style w:type="character" w:customStyle="1" w:styleId="BidfooterChar">
    <w:name w:val="Bid footer Char"/>
    <w:basedOn w:val="DefaultParagraphFont"/>
    <w:link w:val="Bidfooter0"/>
    <w:uiPriority w:val="19"/>
    <w:semiHidden/>
    <w:locked/>
    <w:rPr>
      <w:bCs/>
      <w:color w:val="778189"/>
      <w:sz w:val="14"/>
      <w:szCs w:val="40"/>
      <w:lang w:val="en-AU" w:eastAsia="en-AU"/>
    </w:rPr>
  </w:style>
  <w:style w:type="character" w:customStyle="1" w:styleId="HeaderChar">
    <w:name w:val="Header Char"/>
    <w:basedOn w:val="DefaultParagraphFont"/>
    <w:link w:val="Header"/>
    <w:uiPriority w:val="39"/>
    <w:semiHidden/>
    <w:rsid w:val="000A674C"/>
    <w:rPr>
      <w:sz w:val="18"/>
      <w:szCs w:val="18"/>
      <w:lang w:val="en-AU" w:eastAsia="en-AU"/>
    </w:rPr>
  </w:style>
  <w:style w:type="paragraph" w:styleId="ListParagraph">
    <w:name w:val="List Paragraph"/>
    <w:basedOn w:val="Normal"/>
    <w:uiPriority w:val="34"/>
    <w:semiHidden/>
    <w:qFormat/>
    <w:rsid w:val="00ED0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65239">
      <w:bodyDiv w:val="1"/>
      <w:marLeft w:val="0"/>
      <w:marRight w:val="0"/>
      <w:marTop w:val="0"/>
      <w:marBottom w:val="0"/>
      <w:divBdr>
        <w:top w:val="none" w:sz="0" w:space="0" w:color="auto"/>
        <w:left w:val="none" w:sz="0" w:space="0" w:color="auto"/>
        <w:bottom w:val="none" w:sz="0" w:space="0" w:color="auto"/>
        <w:right w:val="none" w:sz="0" w:space="0" w:color="auto"/>
      </w:divBdr>
    </w:div>
    <w:div w:id="524949555">
      <w:bodyDiv w:val="1"/>
      <w:marLeft w:val="0"/>
      <w:marRight w:val="0"/>
      <w:marTop w:val="0"/>
      <w:marBottom w:val="0"/>
      <w:divBdr>
        <w:top w:val="none" w:sz="0" w:space="0" w:color="auto"/>
        <w:left w:val="none" w:sz="0" w:space="0" w:color="auto"/>
        <w:bottom w:val="none" w:sz="0" w:space="0" w:color="auto"/>
        <w:right w:val="none" w:sz="0" w:space="0" w:color="auto"/>
      </w:divBdr>
      <w:divsChild>
        <w:div w:id="515583086">
          <w:marLeft w:val="0"/>
          <w:marRight w:val="0"/>
          <w:marTop w:val="0"/>
          <w:marBottom w:val="0"/>
          <w:divBdr>
            <w:top w:val="none" w:sz="0" w:space="0" w:color="auto"/>
            <w:left w:val="none" w:sz="0" w:space="0" w:color="auto"/>
            <w:bottom w:val="none" w:sz="0" w:space="0" w:color="auto"/>
            <w:right w:val="none" w:sz="0" w:space="0" w:color="auto"/>
          </w:divBdr>
          <w:divsChild>
            <w:div w:id="1114981305">
              <w:marLeft w:val="0"/>
              <w:marRight w:val="0"/>
              <w:marTop w:val="0"/>
              <w:marBottom w:val="0"/>
              <w:divBdr>
                <w:top w:val="none" w:sz="0" w:space="0" w:color="auto"/>
                <w:left w:val="none" w:sz="0" w:space="0" w:color="auto"/>
                <w:bottom w:val="none" w:sz="0" w:space="0" w:color="auto"/>
                <w:right w:val="none" w:sz="0" w:space="0" w:color="auto"/>
              </w:divBdr>
              <w:divsChild>
                <w:div w:id="1610771839">
                  <w:marLeft w:val="0"/>
                  <w:marRight w:val="300"/>
                  <w:marTop w:val="0"/>
                  <w:marBottom w:val="0"/>
                  <w:divBdr>
                    <w:top w:val="none" w:sz="0" w:space="0" w:color="auto"/>
                    <w:left w:val="none" w:sz="0" w:space="0" w:color="auto"/>
                    <w:bottom w:val="none" w:sz="0" w:space="0" w:color="auto"/>
                    <w:right w:val="none" w:sz="0" w:space="0" w:color="auto"/>
                  </w:divBdr>
                  <w:divsChild>
                    <w:div w:id="1436747662">
                      <w:marLeft w:val="0"/>
                      <w:marRight w:val="0"/>
                      <w:marTop w:val="0"/>
                      <w:marBottom w:val="0"/>
                      <w:divBdr>
                        <w:top w:val="single" w:sz="18" w:space="15" w:color="E5E5E5"/>
                        <w:left w:val="single" w:sz="2" w:space="0" w:color="E5E5E5"/>
                        <w:bottom w:val="single" w:sz="2" w:space="0" w:color="E5E5E5"/>
                        <w:right w:val="single" w:sz="2" w:space="0" w:color="E5E5E5"/>
                      </w:divBdr>
                      <w:divsChild>
                        <w:div w:id="462969291">
                          <w:marLeft w:val="0"/>
                          <w:marRight w:val="300"/>
                          <w:marTop w:val="0"/>
                          <w:marBottom w:val="0"/>
                          <w:divBdr>
                            <w:top w:val="none" w:sz="0" w:space="0" w:color="auto"/>
                            <w:left w:val="none" w:sz="0" w:space="0" w:color="auto"/>
                            <w:bottom w:val="none" w:sz="0" w:space="0" w:color="auto"/>
                            <w:right w:val="none" w:sz="0" w:space="0" w:color="auto"/>
                          </w:divBdr>
                          <w:divsChild>
                            <w:div w:id="5923982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686916">
      <w:bodyDiv w:val="1"/>
      <w:marLeft w:val="0"/>
      <w:marRight w:val="0"/>
      <w:marTop w:val="0"/>
      <w:marBottom w:val="0"/>
      <w:divBdr>
        <w:top w:val="none" w:sz="0" w:space="0" w:color="auto"/>
        <w:left w:val="none" w:sz="0" w:space="0" w:color="auto"/>
        <w:bottom w:val="none" w:sz="0" w:space="0" w:color="auto"/>
        <w:right w:val="none" w:sz="0" w:space="0" w:color="auto"/>
      </w:divBdr>
      <w:divsChild>
        <w:div w:id="615916804">
          <w:marLeft w:val="0"/>
          <w:marRight w:val="0"/>
          <w:marTop w:val="0"/>
          <w:marBottom w:val="0"/>
          <w:divBdr>
            <w:top w:val="none" w:sz="0" w:space="0" w:color="auto"/>
            <w:left w:val="none" w:sz="0" w:space="0" w:color="auto"/>
            <w:bottom w:val="none" w:sz="0" w:space="0" w:color="auto"/>
            <w:right w:val="none" w:sz="0" w:space="0" w:color="auto"/>
          </w:divBdr>
          <w:divsChild>
            <w:div w:id="1514221122">
              <w:marLeft w:val="0"/>
              <w:marRight w:val="0"/>
              <w:marTop w:val="0"/>
              <w:marBottom w:val="0"/>
              <w:divBdr>
                <w:top w:val="none" w:sz="0" w:space="0" w:color="auto"/>
                <w:left w:val="none" w:sz="0" w:space="0" w:color="auto"/>
                <w:bottom w:val="none" w:sz="0" w:space="0" w:color="auto"/>
                <w:right w:val="none" w:sz="0" w:space="0" w:color="auto"/>
              </w:divBdr>
              <w:divsChild>
                <w:div w:id="402718982">
                  <w:marLeft w:val="0"/>
                  <w:marRight w:val="300"/>
                  <w:marTop w:val="0"/>
                  <w:marBottom w:val="0"/>
                  <w:divBdr>
                    <w:top w:val="none" w:sz="0" w:space="0" w:color="auto"/>
                    <w:left w:val="none" w:sz="0" w:space="0" w:color="auto"/>
                    <w:bottom w:val="none" w:sz="0" w:space="0" w:color="auto"/>
                    <w:right w:val="none" w:sz="0" w:space="0" w:color="auto"/>
                  </w:divBdr>
                  <w:divsChild>
                    <w:div w:id="645866242">
                      <w:marLeft w:val="0"/>
                      <w:marRight w:val="0"/>
                      <w:marTop w:val="0"/>
                      <w:marBottom w:val="0"/>
                      <w:divBdr>
                        <w:top w:val="single" w:sz="18" w:space="15" w:color="E5E5E5"/>
                        <w:left w:val="single" w:sz="2" w:space="0" w:color="E5E5E5"/>
                        <w:bottom w:val="single" w:sz="2" w:space="0" w:color="E5E5E5"/>
                        <w:right w:val="single" w:sz="2" w:space="0" w:color="E5E5E5"/>
                      </w:divBdr>
                      <w:divsChild>
                        <w:div w:id="675496185">
                          <w:marLeft w:val="0"/>
                          <w:marRight w:val="300"/>
                          <w:marTop w:val="0"/>
                          <w:marBottom w:val="0"/>
                          <w:divBdr>
                            <w:top w:val="none" w:sz="0" w:space="0" w:color="auto"/>
                            <w:left w:val="none" w:sz="0" w:space="0" w:color="auto"/>
                            <w:bottom w:val="none" w:sz="0" w:space="0" w:color="auto"/>
                            <w:right w:val="none" w:sz="0" w:space="0" w:color="auto"/>
                          </w:divBdr>
                          <w:divsChild>
                            <w:div w:id="21172112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20571">
      <w:bodyDiv w:val="1"/>
      <w:marLeft w:val="0"/>
      <w:marRight w:val="0"/>
      <w:marTop w:val="0"/>
      <w:marBottom w:val="0"/>
      <w:divBdr>
        <w:top w:val="none" w:sz="0" w:space="0" w:color="auto"/>
        <w:left w:val="none" w:sz="0" w:space="0" w:color="auto"/>
        <w:bottom w:val="none" w:sz="0" w:space="0" w:color="auto"/>
        <w:right w:val="none" w:sz="0" w:space="0" w:color="auto"/>
      </w:divBdr>
    </w:div>
    <w:div w:id="1304694699">
      <w:bodyDiv w:val="1"/>
      <w:marLeft w:val="0"/>
      <w:marRight w:val="0"/>
      <w:marTop w:val="0"/>
      <w:marBottom w:val="0"/>
      <w:divBdr>
        <w:top w:val="none" w:sz="0" w:space="0" w:color="auto"/>
        <w:left w:val="none" w:sz="0" w:space="0" w:color="auto"/>
        <w:bottom w:val="none" w:sz="0" w:space="0" w:color="auto"/>
        <w:right w:val="none" w:sz="0" w:space="0" w:color="auto"/>
      </w:divBdr>
    </w:div>
    <w:div w:id="1371612139">
      <w:bodyDiv w:val="1"/>
      <w:marLeft w:val="0"/>
      <w:marRight w:val="0"/>
      <w:marTop w:val="0"/>
      <w:marBottom w:val="0"/>
      <w:divBdr>
        <w:top w:val="none" w:sz="0" w:space="0" w:color="auto"/>
        <w:left w:val="none" w:sz="0" w:space="0" w:color="auto"/>
        <w:bottom w:val="none" w:sz="0" w:space="0" w:color="auto"/>
        <w:right w:val="none" w:sz="0" w:space="0" w:color="auto"/>
      </w:divBdr>
    </w:div>
    <w:div w:id="1508907700">
      <w:bodyDiv w:val="1"/>
      <w:marLeft w:val="0"/>
      <w:marRight w:val="0"/>
      <w:marTop w:val="0"/>
      <w:marBottom w:val="0"/>
      <w:divBdr>
        <w:top w:val="none" w:sz="0" w:space="0" w:color="auto"/>
        <w:left w:val="none" w:sz="0" w:space="0" w:color="auto"/>
        <w:bottom w:val="none" w:sz="0" w:space="0" w:color="auto"/>
        <w:right w:val="none" w:sz="0" w:space="0" w:color="auto"/>
      </w:divBdr>
    </w:div>
    <w:div w:id="1536037872">
      <w:bodyDiv w:val="1"/>
      <w:marLeft w:val="0"/>
      <w:marRight w:val="0"/>
      <w:marTop w:val="0"/>
      <w:marBottom w:val="0"/>
      <w:divBdr>
        <w:top w:val="none" w:sz="0" w:space="0" w:color="auto"/>
        <w:left w:val="none" w:sz="0" w:space="0" w:color="auto"/>
        <w:bottom w:val="none" w:sz="0" w:space="0" w:color="auto"/>
        <w:right w:val="none" w:sz="0" w:space="0" w:color="auto"/>
      </w:divBdr>
    </w:div>
    <w:div w:id="1751002784">
      <w:bodyDiv w:val="1"/>
      <w:marLeft w:val="0"/>
      <w:marRight w:val="0"/>
      <w:marTop w:val="0"/>
      <w:marBottom w:val="0"/>
      <w:divBdr>
        <w:top w:val="none" w:sz="0" w:space="0" w:color="auto"/>
        <w:left w:val="none" w:sz="0" w:space="0" w:color="auto"/>
        <w:bottom w:val="none" w:sz="0" w:space="0" w:color="auto"/>
        <w:right w:val="none" w:sz="0" w:space="0" w:color="auto"/>
      </w:divBdr>
      <w:divsChild>
        <w:div w:id="1901549764">
          <w:marLeft w:val="0"/>
          <w:marRight w:val="0"/>
          <w:marTop w:val="0"/>
          <w:marBottom w:val="0"/>
          <w:divBdr>
            <w:top w:val="none" w:sz="0" w:space="0" w:color="auto"/>
            <w:left w:val="none" w:sz="0" w:space="0" w:color="auto"/>
            <w:bottom w:val="none" w:sz="0" w:space="0" w:color="auto"/>
            <w:right w:val="none" w:sz="0" w:space="0" w:color="auto"/>
          </w:divBdr>
          <w:divsChild>
            <w:div w:id="1713994807">
              <w:marLeft w:val="0"/>
              <w:marRight w:val="0"/>
              <w:marTop w:val="0"/>
              <w:marBottom w:val="0"/>
              <w:divBdr>
                <w:top w:val="none" w:sz="0" w:space="0" w:color="auto"/>
                <w:left w:val="none" w:sz="0" w:space="0" w:color="auto"/>
                <w:bottom w:val="none" w:sz="0" w:space="0" w:color="auto"/>
                <w:right w:val="none" w:sz="0" w:space="0" w:color="auto"/>
              </w:divBdr>
              <w:divsChild>
                <w:div w:id="1214732263">
                  <w:marLeft w:val="0"/>
                  <w:marRight w:val="300"/>
                  <w:marTop w:val="0"/>
                  <w:marBottom w:val="0"/>
                  <w:divBdr>
                    <w:top w:val="none" w:sz="0" w:space="0" w:color="auto"/>
                    <w:left w:val="none" w:sz="0" w:space="0" w:color="auto"/>
                    <w:bottom w:val="none" w:sz="0" w:space="0" w:color="auto"/>
                    <w:right w:val="none" w:sz="0" w:space="0" w:color="auto"/>
                  </w:divBdr>
                  <w:divsChild>
                    <w:div w:id="934483811">
                      <w:marLeft w:val="0"/>
                      <w:marRight w:val="0"/>
                      <w:marTop w:val="0"/>
                      <w:marBottom w:val="0"/>
                      <w:divBdr>
                        <w:top w:val="single" w:sz="18" w:space="15" w:color="E5E5E5"/>
                        <w:left w:val="single" w:sz="2" w:space="0" w:color="E5E5E5"/>
                        <w:bottom w:val="single" w:sz="2" w:space="0" w:color="E5E5E5"/>
                        <w:right w:val="single" w:sz="2" w:space="0" w:color="E5E5E5"/>
                      </w:divBdr>
                      <w:divsChild>
                        <w:div w:id="1771387946">
                          <w:marLeft w:val="0"/>
                          <w:marRight w:val="300"/>
                          <w:marTop w:val="0"/>
                          <w:marBottom w:val="0"/>
                          <w:divBdr>
                            <w:top w:val="none" w:sz="0" w:space="0" w:color="auto"/>
                            <w:left w:val="none" w:sz="0" w:space="0" w:color="auto"/>
                            <w:bottom w:val="none" w:sz="0" w:space="0" w:color="auto"/>
                            <w:right w:val="none" w:sz="0" w:space="0" w:color="auto"/>
                          </w:divBdr>
                          <w:divsChild>
                            <w:div w:id="1139229884">
                              <w:marLeft w:val="0"/>
                              <w:marRight w:val="300"/>
                              <w:marTop w:val="0"/>
                              <w:marBottom w:val="0"/>
                              <w:divBdr>
                                <w:top w:val="none" w:sz="0" w:space="0" w:color="auto"/>
                                <w:left w:val="none" w:sz="0" w:space="0" w:color="auto"/>
                                <w:bottom w:val="none" w:sz="0" w:space="0" w:color="auto"/>
                                <w:right w:val="none" w:sz="0" w:space="0" w:color="auto"/>
                              </w:divBdr>
                              <w:divsChild>
                                <w:div w:id="3842553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microsoft.com/office/2007/relationships/stylesWithEffects" Target="stylesWithEffects.xml" />
  <Relationship Id="rId13" Type="http://schemas.openxmlformats.org/officeDocument/2006/relationships/hyperlink" Target="http://hsnet/Business%20services/Business%20development/Documents/CVandPitch_Guidelines%20for%20placing%20portrait%20photography%20in%20documents.pdf" TargetMode="External" />
  <Relationship Id="rId18" Type="http://schemas.openxmlformats.org/officeDocument/2006/relationships/footer" Target="footer2.xml" />
  <Relationship Id="rId3" Type="http://schemas.openxmlformats.org/officeDocument/2006/relationships/customXml" Target="../customXml/item3.xml" />
  <Relationship Id="rId21" Type="http://schemas.openxmlformats.org/officeDocument/2006/relationships/fontTable" Target="fontTable.xml" />
  <Relationship Id="rId7" Type="http://schemas.openxmlformats.org/officeDocument/2006/relationships/styles" Target="styles.xml" />
  <Relationship Id="rId12" Type="http://schemas.openxmlformats.org/officeDocument/2006/relationships/endnotes" Target="endnotes.xml" />
  <Relationship Id="rId17" Type="http://schemas.openxmlformats.org/officeDocument/2006/relationships/footer" Target="footer1.xml" />
  <Relationship Id="rId2" Type="http://schemas.openxmlformats.org/officeDocument/2006/relationships/customXml" Target="../customXml/item2.xml" />
  <Relationship Id="rId16" Type="http://schemas.openxmlformats.org/officeDocument/2006/relationships/header" Target="header2.xml" />
  <Relationship Id="rId20" Type="http://schemas.openxmlformats.org/officeDocument/2006/relationships/footer" Target="footer3.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footnotes" Target="footnotes.xml" />
  <Relationship Id="rId5" Type="http://schemas.openxmlformats.org/officeDocument/2006/relationships/customXml" Target="../customXml/item5.xml" />
  <Relationship Id="rId15" Type="http://schemas.openxmlformats.org/officeDocument/2006/relationships/header" Target="header1.xml" />
  <Relationship Id="rId10" Type="http://schemas.openxmlformats.org/officeDocument/2006/relationships/webSettings" Target="webSettings.xml" />
  <Relationship Id="rId19" Type="http://schemas.openxmlformats.org/officeDocument/2006/relationships/header" Target="header3.xml" />
  <Relationship Id="rId4" Type="http://schemas.openxmlformats.org/officeDocument/2006/relationships/customXml" Target="../customXml/item4.xml" />
  <Relationship Id="rId9" Type="http://schemas.openxmlformats.org/officeDocument/2006/relationships/settings" Target="settings.xml" />
  <Relationship Id="rId14" Type="http://schemas.openxmlformats.org/officeDocument/2006/relationships/image" Target="media/image1.jpeg" />
  <Relationship Id="rId22" Type="http://schemas.openxmlformats.org/officeDocument/2006/relationships/theme" Target="theme/theme1.xml" />
</Relationships>
</file>

<file path=word/_rels/header2.xml.rels>&#65279;<?xml version="1.0" encoding="UTF-8" standalone="yes"?>
<Relationships xmlns="http://schemas.openxmlformats.org/package/2006/relationships">
  <Relationship Id="rId1" Type="http://schemas.openxmlformats.org/officeDocument/2006/relationships/image" Target="media/image2.png" />
</Relationships>
</file>

<file path=word/theme/theme1.xml><?xml version="1.0" encoding="utf-8"?>
<a:theme xmlns:a="http://schemas.openxmlformats.org/drawingml/2006/main" name="HSF">
  <a:themeElements>
    <a:clrScheme name="HSF Colour 03">
      <a:dk1>
        <a:srgbClr val="000000"/>
      </a:dk1>
      <a:lt1>
        <a:srgbClr val="FFFFFF"/>
      </a:lt1>
      <a:dk2>
        <a:srgbClr val="00324B"/>
      </a:dk2>
      <a:lt2>
        <a:srgbClr val="01707E"/>
      </a:lt2>
      <a:accent1>
        <a:srgbClr val="00324B"/>
      </a:accent1>
      <a:accent2>
        <a:srgbClr val="01707E"/>
      </a:accent2>
      <a:accent3>
        <a:srgbClr val="029AAC"/>
      </a:accent3>
      <a:accent4>
        <a:srgbClr val="53CADF"/>
      </a:accent4>
      <a:accent5>
        <a:srgbClr val="74256B"/>
      </a:accent5>
      <a:accent6>
        <a:srgbClr val="BE1F87"/>
      </a:accent6>
      <a:hlink>
        <a:srgbClr val="00AFDB"/>
      </a:hlink>
      <a:folHlink>
        <a:srgbClr val="D180B5"/>
      </a:folHlink>
    </a:clrScheme>
    <a:fontScheme name="1_Pitch or Presentation template - Herbert Smith">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noFill/>
        <a:ln w="15875" cap="flat" cmpd="sng" algn="ctr">
          <a:solidFill>
            <a:schemeClr val="tx2"/>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vert="horz" wrap="none" lIns="0" tIns="0" rIns="0" bIns="0" numCol="1" anchor="ctr"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 typeface="Symbol" pitchFamily="18" charset="2"/>
          <a:buNone/>
          <a:tabLst>
            <a:tab pos="450850" algn="l"/>
            <a:tab pos="457200" algn="r"/>
            <a:tab pos="990600" algn="l"/>
            <a:tab pos="1890713" algn="l"/>
            <a:tab pos="2339975" algn="l"/>
            <a:tab pos="2790825" algn="l"/>
            <a:tab pos="5581650" algn="r"/>
          </a:tabLst>
          <a:defRPr kumimoji="0" lang="en-GB" sz="1500" b="0" i="0" u="none" strike="noStrike" cap="none" normalizeH="0" baseline="0" smtClean="0">
            <a:ln>
              <a:noFill/>
            </a:ln>
            <a:solidFill>
              <a:srgbClr val="000000"/>
            </a:solidFill>
            <a:effectLst/>
            <a:latin typeface="Arial" charset="0"/>
            <a:ea typeface="ＭＳ Ｐゴシック" pitchFamily="34" charset="-128"/>
          </a:defRPr>
        </a:defPPr>
      </a:lstStyle>
    </a:spDef>
    <a:lnDef>
      <a:spPr bwMode="auto">
        <a:xfrm>
          <a:off x="0" y="0"/>
          <a:ext cx="1" cy="1"/>
        </a:xfrm>
        <a:custGeom>
          <a:avLst/>
          <a:gdLst/>
          <a:ahLst/>
          <a:cxnLst/>
          <a:rect l="0" t="0" r="0" b="0"/>
          <a:pathLst/>
        </a:custGeom>
        <a:noFill/>
        <a:ln w="15875" cap="flat" cmpd="sng" algn="ctr">
          <a:solidFill>
            <a:schemeClr val="tx2"/>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vert="horz" wrap="none" lIns="0" tIns="0" rIns="0" bIns="0" numCol="1" anchor="ctr"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 typeface="Symbol" pitchFamily="18" charset="2"/>
          <a:buNone/>
          <a:tabLst>
            <a:tab pos="450850" algn="l"/>
            <a:tab pos="457200" algn="r"/>
            <a:tab pos="990600" algn="l"/>
            <a:tab pos="1890713" algn="l"/>
            <a:tab pos="2339975" algn="l"/>
            <a:tab pos="2790825" algn="l"/>
            <a:tab pos="5581650" algn="r"/>
          </a:tabLst>
          <a:defRPr kumimoji="0" lang="en-GB" sz="1500" b="0" i="0" u="none" strike="noStrike" cap="none" normalizeH="0" baseline="0" smtClean="0">
            <a:ln>
              <a:noFill/>
            </a:ln>
            <a:solidFill>
              <a:srgbClr val="000000"/>
            </a:solidFill>
            <a:effectLst/>
            <a:latin typeface="Arial" charset="0"/>
            <a:ea typeface="ＭＳ Ｐゴシック" pitchFamily="34" charset="-128"/>
          </a:defRPr>
        </a:defPPr>
      </a:lstStyle>
    </a:lnDef>
  </a:objectDefaults>
  <a:extraClrSchemeLst>
    <a:extraClrScheme>
      <a:clrScheme name="1_Pitch or Presentation template - Herbert Smith 1">
        <a:dk1>
          <a:srgbClr val="14054B"/>
        </a:dk1>
        <a:lt1>
          <a:srgbClr val="FFFFFF"/>
        </a:lt1>
        <a:dk2>
          <a:srgbClr val="14054B"/>
        </a:dk2>
        <a:lt2>
          <a:srgbClr val="EB7300"/>
        </a:lt2>
        <a:accent1>
          <a:srgbClr val="A4B8D5"/>
        </a:accent1>
        <a:accent2>
          <a:srgbClr val="A4B8D5"/>
        </a:accent2>
        <a:accent3>
          <a:srgbClr val="FFFFFF"/>
        </a:accent3>
        <a:accent4>
          <a:srgbClr val="0F033F"/>
        </a:accent4>
        <a:accent5>
          <a:srgbClr val="CFD8E7"/>
        </a:accent5>
        <a:accent6>
          <a:srgbClr val="94A6C1"/>
        </a:accent6>
        <a:hlink>
          <a:srgbClr val="A4B8D5"/>
        </a:hlink>
        <a:folHlink>
          <a:srgbClr val="A4B8D5"/>
        </a:folHlink>
      </a:clrScheme>
      <a:clrMap bg1="lt1" tx1="dk1" bg2="lt2" tx2="dk2" accent1="accent1" accent2="accent2" accent3="accent3" accent4="accent4" accent5="accent5" accent6="accent6" hlink="hlink" folHlink="folHlink"/>
    </a:extraClrScheme>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AAD8D641524649966E2874ECEB2D54" ma:contentTypeVersion="0" ma:contentTypeDescription="Create a new document." ma:contentTypeScope="" ma:versionID="5d8ffba2e20aef0570135b3a184c67a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hs:root xmlns:hs="urn:HerbertSmith.Office.Word.Global">
  <iManRef>09/5127276_1</iManRef>
</hs:root>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72CE2-BB82-4677-A20E-132E02A32F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80BA03-4288-476D-BADF-40BE4264A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996888-52F5-44E1-BBA8-F1B56E0CE26C}">
  <ds:schemaRefs>
    <ds:schemaRef ds:uri="http://schemas.microsoft.com/sharepoint/v3/contenttype/forms"/>
  </ds:schemaRefs>
</ds:datastoreItem>
</file>

<file path=customXml/itemProps4.xml><?xml version="1.0" encoding="utf-8"?>
<ds:datastoreItem xmlns:ds="http://schemas.openxmlformats.org/officeDocument/2006/customXml" ds:itemID="{82AE4627-CF5B-4B64-A3ED-5CB493C7F895}">
  <ds:schemaRefs>
    <ds:schemaRef ds:uri="urn:HerbertSmith.Office.Word.Global"/>
  </ds:schemaRefs>
</ds:datastoreItem>
</file>

<file path=customXml/itemProps5.xml><?xml version="1.0" encoding="utf-8"?>
<ds:datastoreItem xmlns:ds="http://schemas.openxmlformats.org/officeDocument/2006/customXml" ds:itemID="{E42C81A0-7A07-42DF-9072-B5F3F189B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3</Pages>
  <Words>1665</Words>
  <Characters>9273</Characters>
  <Application>Microsoft Office Word</Application>
  <DocSecurity>0</DocSecurity>
  <Lines>141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ABAAVOAfoSrQoyzmd/Xu9OpK0dnDZ2KO/KZWDeGfuljv5ZITCVGL/xtdGR5791X5mAtn</vt:lpwstr>
  </property>
  <property fmtid="{D5CDD505-2E9C-101B-9397-08002B2CF9AE}" pid="3" name="RESPONSE_SENDER_NAME">
    <vt:lpwstr>gAAAdya76B99d4hLGUR1rQ+8TxTv0GGEPdix</vt:lpwstr>
  </property>
  <property fmtid="{D5CDD505-2E9C-101B-9397-08002B2CF9AE}" pid="4" name="EMAIL_OWNER_ADDRESS">
    <vt:lpwstr>sAAAUYtyAkeNWR4m0PJldm47jTOMUnVomU/Iks9f6ssg7I0=</vt:lpwstr>
  </property>
</Properties>
</file>